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503793</w:t>
      </w:r>
      <w:bookmarkStart w:id="3" w:name="_GoBack"/>
      <w:bookmarkEnd w:id="3"/>
      <w:r>
        <w:rPr>
          <w:rFonts w:hint="eastAsia" w:eastAsia="宋体" w:cs="Arial"/>
          <w:b/>
          <w:sz w:val="24"/>
          <w:szCs w:val="24"/>
          <w:lang w:val="en-US" w:eastAsia="zh-CN"/>
        </w:rPr>
        <w:t xml:space="preserve">                                                          </w:t>
      </w:r>
    </w:p>
    <w:p>
      <w:pPr>
        <w:pStyle w:val="28"/>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7.29.4.1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9"/>
        <w:rPr>
          <w:lang w:val="en-US"/>
        </w:rPr>
      </w:pPr>
      <w:r>
        <w:rPr>
          <w:lang w:val="en-US"/>
        </w:rPr>
        <w:t>Intro</w:t>
      </w:r>
      <w:r>
        <w:rPr>
          <w:rStyle w:val="80"/>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define the RRM requirements based on the latest revised WID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numPr>
                <w:ilvl w:val="0"/>
                <w:numId w:val="3"/>
              </w:numPr>
              <w:suppressLineNumbers w:val="0"/>
              <w:overflowPunct w:val="0"/>
              <w:autoSpaceDE w:val="0"/>
              <w:autoSpaceDN w:val="0"/>
              <w:adjustRightInd w:val="0"/>
              <w:spacing w:before="0" w:beforeAutospacing="0" w:afterAutospacing="0" w:line="276" w:lineRule="auto"/>
              <w:ind w:right="0"/>
              <w:jc w:val="left"/>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Support of Rel-17 RedCap and Rel-18 eRedCap UEs with NR NTN operating in FR1-NTN bands [RAN4, RAN1]</w:t>
            </w:r>
          </w:p>
          <w:p>
            <w:pPr>
              <w:pStyle w:val="75"/>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For full-duplex and half duplex FDD RedCap and eRedCap UEs, define the RF and RRM requirements [RAN4]</w:t>
            </w:r>
          </w:p>
          <w:p>
            <w:pPr>
              <w:pStyle w:val="75"/>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Enhancements are targeted for the following HD collisions cases (cases 3 and 4):</w:t>
            </w:r>
          </w:p>
          <w:p>
            <w:pPr>
              <w:pStyle w:val="75"/>
              <w:keepNext w:val="0"/>
              <w:keepLines w:val="0"/>
              <w:widowControl/>
              <w:numPr>
                <w:ilvl w:val="2"/>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Semi-statically configured DL reception collides with semi-statically configured UL transmission </w:t>
            </w:r>
          </w:p>
          <w:p>
            <w:pPr>
              <w:pStyle w:val="75"/>
              <w:keepNext w:val="0"/>
              <w:keepLines w:val="0"/>
              <w:widowControl/>
              <w:numPr>
                <w:ilvl w:val="2"/>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Dynamically scheduled DL reception collides with dynamic scheduled UL transmission </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Note: potential work in RAN2, if any, starts after RAN1 has decided on the solution.</w:t>
            </w:r>
          </w:p>
          <w:p>
            <w:pPr>
              <w:pStyle w:val="75"/>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Notes for this objective:</w:t>
            </w:r>
          </w:p>
          <w:p>
            <w:pPr>
              <w:pStyle w:val="75"/>
              <w:keepNext w:val="0"/>
              <w:keepLines w:val="0"/>
              <w:widowControl/>
              <w:numPr>
                <w:ilvl w:val="1"/>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GNSS (Global Navigation Satellite Systems) capabilities and simultaneous GNSS and NR-NTN operation is supported in RedCap/eRedCap UE.</w:t>
            </w:r>
          </w:p>
          <w:p>
            <w:pPr>
              <w:keepNext w:val="0"/>
              <w:keepLines w:val="0"/>
              <w:widowControl/>
              <w:suppressLineNumbers w:val="0"/>
              <w:spacing w:before="0" w:beforeAutospacing="0" w:after="0" w:afterAutospacing="0"/>
              <w:ind w:left="0" w:right="0"/>
              <w:rPr>
                <w:rFonts w:hint="default" w:eastAsia="宋体"/>
                <w:sz w:val="20"/>
                <w:szCs w:val="20"/>
              </w:rPr>
            </w:pPr>
          </w:p>
        </w:tc>
      </w:tr>
    </w:tbl>
    <w:p>
      <w:pPr>
        <w:pStyle w:val="79"/>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this meeting, we will discuss the scenarios and express our views on potential impact to RRM requirements towards the above objective. </w:t>
      </w:r>
    </w:p>
    <w:p>
      <w:pPr>
        <w:pStyle w:val="81"/>
        <w:numPr>
          <w:ilvl w:val="1"/>
          <w:numId w:val="0"/>
        </w:numPr>
        <w:rPr>
          <w:rFonts w:hint="default"/>
          <w:lang w:val="en-US" w:eastAsia="zh-CN"/>
        </w:rPr>
      </w:pPr>
      <w:r>
        <w:rPr>
          <w:rFonts w:hint="eastAsia"/>
          <w:lang w:eastAsia="zh-CN"/>
        </w:rPr>
        <w:t>2.</w:t>
      </w:r>
      <w:r>
        <w:rPr>
          <w:rFonts w:hint="eastAsia"/>
          <w:lang w:val="en-US" w:eastAsia="zh-CN"/>
        </w:rPr>
        <w:t>1 General consideration on RRM requirements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bidi w:val="0"/>
        <w:rPr>
          <w:rFonts w:hint="eastAsia"/>
          <w:sz w:val="24"/>
          <w:szCs w:val="18"/>
          <w:lang w:val="en-US" w:eastAsia="zh-CN"/>
        </w:rPr>
      </w:pPr>
      <w:r>
        <w:rPr>
          <w:rFonts w:hint="eastAsia"/>
          <w:sz w:val="24"/>
          <w:szCs w:val="18"/>
          <w:lang w:val="en-US" w:eastAsia="zh-CN"/>
        </w:rPr>
        <w:t>Issue 1-2-3-1: Feature 25-1 (</w:t>
      </w:r>
      <w:r>
        <w:rPr>
          <w:rFonts w:hint="eastAsia"/>
          <w:i/>
          <w:iCs/>
          <w:sz w:val="24"/>
          <w:szCs w:val="18"/>
          <w:lang w:val="en-US" w:eastAsia="zh-CN"/>
        </w:rPr>
        <w:t>parallelSMTC</w:t>
      </w:r>
      <w:r>
        <w:rPr>
          <w:rFonts w:hint="eastAsia"/>
          <w:sz w:val="24"/>
          <w:szCs w:val="18"/>
          <w:lang w:val="en-US" w:eastAsia="zh-CN"/>
        </w:rPr>
        <w: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spent several minutes on discussing feature 25-1 and the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b/>
                <w:sz w:val="20"/>
                <w:szCs w:val="20"/>
                <w:lang w:eastAsia="zh-CN"/>
              </w:rPr>
            </w:pPr>
            <w:r>
              <w:rPr>
                <w:rFonts w:hint="default"/>
                <w:b/>
                <w:sz w:val="20"/>
                <w:szCs w:val="20"/>
              </w:rPr>
              <w:t>&lt;Way Forward&gt;</w:t>
            </w:r>
            <w:r>
              <w:rPr>
                <w:rFonts w:hint="eastAsia"/>
                <w:b/>
                <w:sz w:val="20"/>
                <w:szCs w:val="20"/>
                <w:lang w:eastAsia="zh-CN"/>
              </w:rPr>
              <w:t>:</w:t>
            </w:r>
          </w:p>
          <w:p>
            <w:pPr>
              <w:keepNext w:val="0"/>
              <w:keepLines w:val="0"/>
              <w:widowControl/>
              <w:suppressLineNumbers w:val="0"/>
              <w:snapToGrid w:val="0"/>
              <w:spacing w:before="0" w:beforeAutospacing="0" w:after="120" w:afterAutospacing="0"/>
              <w:ind w:left="0" w:right="0"/>
              <w:rPr>
                <w:rFonts w:hint="default"/>
                <w:sz w:val="20"/>
                <w:szCs w:val="20"/>
                <w:lang w:eastAsia="zh-CN"/>
              </w:rPr>
            </w:pPr>
            <w:r>
              <w:rPr>
                <w:rFonts w:hint="eastAsia"/>
                <w:sz w:val="20"/>
                <w:szCs w:val="20"/>
                <w:lang w:eastAsia="zh-CN"/>
              </w:rPr>
              <w:t>O</w:t>
            </w:r>
            <w:r>
              <w:rPr>
                <w:rFonts w:hint="default"/>
                <w:sz w:val="20"/>
                <w:szCs w:val="20"/>
                <w:lang w:eastAsia="zh-CN"/>
              </w:rPr>
              <w:t>ptions for further discussion:</w:t>
            </w:r>
          </w:p>
          <w:p>
            <w:pPr>
              <w:keepNext w:val="0"/>
              <w:keepLines w:val="0"/>
              <w:widowControl/>
              <w:suppressLineNumbers w:val="0"/>
              <w:snapToGrid w:val="0"/>
              <w:spacing w:before="0" w:beforeAutospacing="0" w:after="120" w:afterAutospacing="0"/>
              <w:ind w:left="0" w:right="0"/>
              <w:rPr>
                <w:rFonts w:hint="default"/>
                <w:sz w:val="20"/>
                <w:szCs w:val="20"/>
                <w:lang w:eastAsia="zh-CN"/>
              </w:rPr>
            </w:pPr>
            <w:r>
              <w:rPr>
                <w:rFonts w:hint="default"/>
                <w:sz w:val="20"/>
                <w:szCs w:val="20"/>
                <w:lang w:eastAsia="zh-CN"/>
              </w:rPr>
              <w:t xml:space="preserve">If not differentiate 1Rx and 2Rx </w:t>
            </w:r>
            <w:r>
              <w:rPr>
                <w:rFonts w:hint="eastAsia"/>
                <w:sz w:val="20"/>
                <w:szCs w:val="20"/>
                <w:lang w:eastAsia="zh-CN"/>
              </w:rPr>
              <w:t xml:space="preserve">RedCap </w:t>
            </w:r>
            <w:r>
              <w:rPr>
                <w:rFonts w:hint="default"/>
                <w:sz w:val="20"/>
                <w:szCs w:val="20"/>
                <w:lang w:eastAsia="zh-CN"/>
              </w:rPr>
              <w:t xml:space="preserve">UEs, the </w:t>
            </w:r>
            <w:r>
              <w:rPr>
                <w:rFonts w:hint="default"/>
                <w:b/>
                <w:sz w:val="20"/>
                <w:szCs w:val="20"/>
                <w:lang w:eastAsia="zh-CN"/>
              </w:rPr>
              <w:t>baseline</w:t>
            </w:r>
            <w:r>
              <w:rPr>
                <w:rFonts w:hint="eastAsia"/>
                <w:b/>
                <w:sz w:val="20"/>
                <w:szCs w:val="20"/>
                <w:lang w:val="en-US" w:eastAsia="zh-CN"/>
              </w:rPr>
              <w:t xml:space="preserve"> mandatory</w:t>
            </w:r>
            <w:r>
              <w:rPr>
                <w:rFonts w:hint="default"/>
                <w:sz w:val="20"/>
                <w:szCs w:val="20"/>
                <w:lang w:eastAsia="zh-CN"/>
              </w:rPr>
              <w:t xml:space="preserve"> for UE capability is:</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default"/>
              </w:rPr>
              <w:t>Option 1: [1 SMTC or] 2 SMTCs not in parallel</w:t>
            </w:r>
            <w:r>
              <w:rPr>
                <w:rFonts w:hint="eastAsia"/>
                <w:lang w:val="en-US" w:eastAsia="zh-CN"/>
              </w:rPr>
              <w:t xml:space="preserve"> </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default"/>
              </w:rPr>
              <w:t>Option 2: 2 parallel SMTCs</w:t>
            </w:r>
          </w:p>
          <w:p>
            <w:pPr>
              <w:pStyle w:val="75"/>
              <w:keepNext w:val="0"/>
              <w:keepLines w:val="0"/>
              <w:widowControl/>
              <w:numPr>
                <w:ilvl w:val="0"/>
                <w:numId w:val="0"/>
              </w:numPr>
              <w:suppressLineNumbers w:val="0"/>
              <w:spacing w:before="120" w:beforeAutospacing="0" w:after="120" w:afterAutospacing="0"/>
              <w:ind w:left="340" w:leftChars="0" w:right="0"/>
              <w:contextualSpacing w:val="0"/>
              <w:rPr>
                <w:rFonts w:hint="default" w:eastAsia="宋体"/>
                <w:sz w:val="20"/>
                <w:szCs w:val="20"/>
                <w:vertAlign w:val="baseline"/>
                <w:lang w:val="en-US" w:eastAsia="zh-CN"/>
              </w:rPr>
            </w:pPr>
            <w:r>
              <w:rPr>
                <w:rFonts w:hint="eastAsia" w:eastAsia="宋体"/>
                <w:lang w:val="en-US" w:eastAsia="zh-CN"/>
              </w:rPr>
              <w:t xml:space="preserve">          </w:t>
            </w:r>
            <w:r>
              <w:rPr>
                <w:rFonts w:hint="default"/>
              </w:rPr>
              <w:t>‘Parallel’ means the SMTCs are TDM with proximity distance.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legacy NTN study, NTN capable UE is mandatory to configured 2 SMTCs because of the time difference between gNB and UE among different NGSOs. However, some companies deem that one SMTC shall be only considered for Redcap UEs because of the bottleneck of the Redcap UE</w:t>
      </w:r>
      <w:r>
        <w:rPr>
          <w:rFonts w:hint="default" w:eastAsia="宋体"/>
          <w:sz w:val="20"/>
          <w:szCs w:val="20"/>
          <w:lang w:val="en-US" w:eastAsia="zh-CN"/>
        </w:rPr>
        <w:t>’</w:t>
      </w:r>
      <w:r>
        <w:rPr>
          <w:rFonts w:hint="eastAsia" w:eastAsia="宋体"/>
          <w:sz w:val="20"/>
          <w:szCs w:val="20"/>
          <w:lang w:val="en-US" w:eastAsia="zh-CN"/>
        </w:rPr>
        <w:t>s process, which is not related to 1Rx or 2Rx. However, the proponents of option 1 shall provide the strong reasons to explain which kind of processing capability will impact RedCap UE to use 2 SMTC for measurement. To my understanding, the only concern for option 1 is that the total measurement delay is severely extended. If option 1 is used, RedCap UE will complete all NTN neighbour cells via one SMTC, the case that RedCap UE shall spend more total time to complete all measurement. If the measurement delay is long enough and the moving speed of NGSOs is quick enough, the relative position between RedCap UEs and NGSOs will have a huge change. When the measurement report is sent to network, the report results may can not reflect the current radio condition, network would not feedback the downlink command timely. Thus, it may lead to delayed handover, resulting in brief service interruptions and noticeable decline in UE service quality. Consequently, option 1 seems not good for us. Furthermore, we could consider both the bottleneck of RedCap UE</w:t>
      </w:r>
      <w:r>
        <w:rPr>
          <w:rFonts w:hint="default" w:eastAsia="宋体"/>
          <w:sz w:val="20"/>
          <w:szCs w:val="20"/>
          <w:lang w:val="en-US" w:eastAsia="zh-CN"/>
        </w:rPr>
        <w:t>’</w:t>
      </w:r>
      <w:r>
        <w:rPr>
          <w:rFonts w:hint="eastAsia" w:eastAsia="宋体"/>
          <w:sz w:val="20"/>
          <w:szCs w:val="20"/>
          <w:lang w:val="en-US" w:eastAsia="zh-CN"/>
        </w:rPr>
        <w:t xml:space="preserve">s process (if proponents provide the concrete reasons) and total measurement delay, one compromised method could be optional support 2 parallel SMTCs, </w:t>
      </w:r>
      <w:r>
        <w:rPr>
          <w:rFonts w:hint="default" w:eastAsia="宋体"/>
          <w:sz w:val="20"/>
          <w:szCs w:val="20"/>
          <w:lang w:val="en-US" w:eastAsia="zh-CN"/>
        </w:rPr>
        <w:t>“</w:t>
      </w:r>
      <w:r>
        <w:rPr>
          <w:rFonts w:hint="eastAsia" w:eastAsia="宋体"/>
          <w:sz w:val="20"/>
          <w:szCs w:val="20"/>
          <w:lang w:val="en-US" w:eastAsia="zh-CN"/>
        </w:rPr>
        <w:t>parallel</w:t>
      </w:r>
      <w:r>
        <w:rPr>
          <w:rFonts w:hint="default" w:eastAsia="宋体"/>
          <w:sz w:val="20"/>
          <w:szCs w:val="20"/>
          <w:lang w:val="en-US" w:eastAsia="zh-CN"/>
        </w:rPr>
        <w:t>”</w:t>
      </w:r>
      <w:r>
        <w:rPr>
          <w:rFonts w:hint="eastAsia" w:eastAsia="宋体"/>
          <w:sz w:val="20"/>
          <w:szCs w:val="20"/>
          <w:lang w:val="en-US" w:eastAsia="zh-CN"/>
        </w:rPr>
        <w:t xml:space="preserve"> means the SMTCs are TDM with proximity distance.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 xml:space="preserve">Observation 1: For option 1, the total measurement delay is severely extended.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 xml:space="preserve">Proposal 1: RAN4 could optional support 2 SMTCs in parallel, </w:t>
      </w:r>
      <w:r>
        <w:rPr>
          <w:rFonts w:hint="default" w:eastAsia="宋体"/>
          <w:b/>
          <w:bCs/>
          <w:sz w:val="20"/>
          <w:szCs w:val="20"/>
          <w:lang w:val="en-US" w:eastAsia="zh-CN"/>
        </w:rPr>
        <w:t>“</w:t>
      </w:r>
      <w:r>
        <w:rPr>
          <w:rFonts w:hint="eastAsia" w:eastAsia="宋体"/>
          <w:b/>
          <w:bCs/>
          <w:sz w:val="20"/>
          <w:szCs w:val="20"/>
          <w:lang w:val="en-US" w:eastAsia="zh-CN"/>
        </w:rPr>
        <w:t>parallel</w:t>
      </w:r>
      <w:r>
        <w:rPr>
          <w:rFonts w:hint="default" w:eastAsia="宋体"/>
          <w:b/>
          <w:bCs/>
          <w:sz w:val="20"/>
          <w:szCs w:val="20"/>
          <w:lang w:val="en-US" w:eastAsia="zh-CN"/>
        </w:rPr>
        <w:t>”</w:t>
      </w:r>
      <w:r>
        <w:rPr>
          <w:rFonts w:hint="eastAsia" w:eastAsia="宋体"/>
          <w:b/>
          <w:bCs/>
          <w:sz w:val="20"/>
          <w:szCs w:val="20"/>
          <w:lang w:val="en-US" w:eastAsia="zh-CN"/>
        </w:rPr>
        <w:t xml:space="preserve"> means the STMC are TDM with proximity distance.</w:t>
      </w:r>
    </w:p>
    <w:p>
      <w:pPr>
        <w:pStyle w:val="4"/>
        <w:bidi w:val="0"/>
        <w:rPr>
          <w:rFonts w:hint="eastAsia"/>
          <w:sz w:val="24"/>
          <w:szCs w:val="18"/>
          <w:lang w:val="en-US" w:eastAsia="zh-CN"/>
        </w:rPr>
      </w:pPr>
      <w:r>
        <w:rPr>
          <w:rFonts w:hint="eastAsia"/>
          <w:sz w:val="24"/>
          <w:szCs w:val="18"/>
          <w:lang w:val="en-US" w:eastAsia="ko-KR"/>
        </w:rPr>
        <w:t xml:space="preserve">Issue </w:t>
      </w:r>
      <w:r>
        <w:rPr>
          <w:rFonts w:hint="eastAsia"/>
          <w:sz w:val="24"/>
          <w:szCs w:val="18"/>
          <w:lang w:val="en-US" w:eastAsia="zh-CN"/>
        </w:rPr>
        <w:t>1</w:t>
      </w:r>
      <w:r>
        <w:rPr>
          <w:rFonts w:hint="eastAsia"/>
          <w:sz w:val="24"/>
          <w:szCs w:val="18"/>
          <w:lang w:val="en-US" w:eastAsia="ko-KR"/>
        </w:rPr>
        <w:t>-</w:t>
      </w:r>
      <w:r>
        <w:rPr>
          <w:rFonts w:hint="eastAsia"/>
          <w:sz w:val="24"/>
          <w:szCs w:val="18"/>
          <w:lang w:val="en-US" w:eastAsia="zh-CN"/>
        </w:rPr>
        <w:t>2</w:t>
      </w:r>
      <w:r>
        <w:rPr>
          <w:rFonts w:hint="eastAsia"/>
          <w:sz w:val="24"/>
          <w:szCs w:val="18"/>
          <w:lang w:val="en-US" w:eastAsia="ko-KR"/>
        </w:rPr>
        <w:t>-</w:t>
      </w:r>
      <w:r>
        <w:rPr>
          <w:rFonts w:hint="eastAsia"/>
          <w:sz w:val="24"/>
          <w:szCs w:val="18"/>
          <w:lang w:val="en-US" w:eastAsia="zh-CN"/>
        </w:rPr>
        <w:t>3-1a</w:t>
      </w:r>
      <w:r>
        <w:rPr>
          <w:rFonts w:hint="eastAsia"/>
          <w:sz w:val="24"/>
          <w:szCs w:val="18"/>
          <w:lang w:val="en-US" w:eastAsia="ko-KR"/>
        </w:rPr>
        <w:t xml:space="preserve">: </w:t>
      </w:r>
      <w:r>
        <w:rPr>
          <w:rFonts w:hint="eastAsia"/>
          <w:sz w:val="24"/>
          <w:szCs w:val="18"/>
          <w:lang w:val="en-US" w:eastAsia="zh-CN"/>
        </w:rPr>
        <w:t>T</w:t>
      </w:r>
      <w:r>
        <w:rPr>
          <w:rFonts w:hint="eastAsia"/>
          <w:sz w:val="24"/>
          <w:szCs w:val="18"/>
          <w:lang w:val="en-US" w:eastAsia="ko-KR"/>
        </w:rPr>
        <w:t>he proximity distance between two SMTCs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[2], RAN4 defines conditions on different SMTC collision for normal NR UEs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28" w:right="0" w:hanging="28"/>
              <w:jc w:val="left"/>
              <w:rPr>
                <w:rFonts w:hint="default"/>
                <w:sz w:val="20"/>
                <w:szCs w:val="20"/>
                <w:lang w:val="en-US"/>
              </w:rPr>
            </w:pPr>
            <w:r>
              <w:rPr>
                <w:rFonts w:hint="eastAsia" w:eastAsia="宋体"/>
                <w:sz w:val="20"/>
                <w:szCs w:val="20"/>
                <w:lang w:val="en-US" w:eastAsia="zh-CN"/>
              </w:rPr>
              <w:t xml:space="preserve"> </w:t>
            </w:r>
            <w:r>
              <w:rPr>
                <w:rFonts w:hint="default" w:ascii="Times New Roman" w:hAnsi="Times New Roman" w:eastAsia="Times New Roman" w:cs="Times New Roman"/>
                <w:kern w:val="0"/>
                <w:sz w:val="20"/>
                <w:szCs w:val="20"/>
                <w:lang w:val="en-US" w:eastAsia="zh-CN" w:bidi="ar"/>
              </w:rPr>
              <w:t>When UE is configured with more than one SMTC on a SAN carrier, two SMTC occasions outside measurement gap are considered colliding if at least one of the following conditions is met: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two SMTC occasions are fully or partially overlapping in time domain,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magnitude of the distance between two SMTC occasions in time domain is less than or equals to 4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宋体"/>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The distance between two SMTC occasions is defined as the time difference between the ending point of the earlier SMTC occasion and the starting point of the later SMTC occasion.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some companies deem that the conditions on SMTCs collision shall be changed for RedCap UEs compared to legacy NR normal UEs, and the wayforward could be seen as follows: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1"/>
                <w:highlight w:val="green"/>
                <w:lang w:eastAsia="zh-CN"/>
              </w:rPr>
            </w:pPr>
            <w:r>
              <w:rPr>
                <w:rFonts w:hint="default"/>
                <w:sz w:val="20"/>
                <w:szCs w:val="21"/>
                <w:highlight w:val="green"/>
                <w:lang w:eastAsia="zh-CN"/>
              </w:rPr>
              <w:t>Agreement:</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default"/>
              </w:rPr>
              <w:t>RAN4 to define the proximity distance between two SMTCs for (e)RedCap UEs in NTN.</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default"/>
              </w:rPr>
              <w:t>The distance between two SMTC occasions is defined as the time difference between the ending point of the earlier SMTC occasion and the starting point of the later SMTC occasion.</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eastAsia"/>
              </w:rPr>
              <w:t xml:space="preserve">For whether to consider </w:t>
            </w:r>
            <w:r>
              <w:rPr>
                <w:rFonts w:hint="default"/>
              </w:rPr>
              <w:t>relaxation for proximity when (e)RedCap UE is configured with more than one SMTC on a SAN carrier,</w:t>
            </w:r>
          </w:p>
          <w:p>
            <w:pPr>
              <w:pStyle w:val="75"/>
              <w:keepNext w:val="0"/>
              <w:keepLines w:val="0"/>
              <w:widowControl/>
              <w:numPr>
                <w:ilvl w:val="1"/>
                <w:numId w:val="5"/>
              </w:numPr>
              <w:suppressLineNumbers w:val="0"/>
              <w:spacing w:before="120" w:beforeAutospacing="0" w:after="120" w:afterAutospacing="0"/>
              <w:ind w:right="0"/>
              <w:contextualSpacing w:val="0"/>
              <w:rPr>
                <w:rFonts w:hint="default"/>
              </w:rPr>
            </w:pPr>
            <w:r>
              <w:rPr>
                <w:rFonts w:hint="eastAsia"/>
              </w:rPr>
              <w:t>Option</w:t>
            </w:r>
            <w:r>
              <w:rPr>
                <w:rFonts w:hint="eastAsia"/>
                <w:lang w:eastAsia="zh-CN"/>
              </w:rPr>
              <w:t xml:space="preserve"> </w:t>
            </w:r>
            <w:r>
              <w:rPr>
                <w:rFonts w:hint="eastAsia"/>
              </w:rPr>
              <w:t>1: No</w:t>
            </w:r>
            <w:r>
              <w:rPr>
                <w:rFonts w:hint="eastAsia"/>
                <w:lang w:eastAsia="zh-CN"/>
              </w:rPr>
              <w:t>.</w:t>
            </w:r>
            <w:r>
              <w:rPr>
                <w:rFonts w:hint="eastAsia"/>
              </w:rPr>
              <w:t xml:space="preserve"> RAN4 to reuse the legacy </w:t>
            </w:r>
            <w:r>
              <w:rPr>
                <w:rFonts w:hint="default"/>
              </w:rPr>
              <w:t>collision condition</w:t>
            </w:r>
            <w:r>
              <w:rPr>
                <w:rFonts w:hint="eastAsia"/>
              </w:rPr>
              <w:t>.</w:t>
            </w:r>
          </w:p>
          <w:p>
            <w:pPr>
              <w:pStyle w:val="75"/>
              <w:keepNext w:val="0"/>
              <w:keepLines w:val="0"/>
              <w:widowControl/>
              <w:numPr>
                <w:ilvl w:val="1"/>
                <w:numId w:val="5"/>
              </w:numPr>
              <w:suppressLineNumbers w:val="0"/>
              <w:spacing w:before="120" w:beforeAutospacing="0" w:after="120" w:afterAutospacing="0"/>
              <w:ind w:right="0"/>
              <w:contextualSpacing w:val="0"/>
              <w:rPr>
                <w:rFonts w:hint="default"/>
              </w:rPr>
            </w:pPr>
            <w:r>
              <w:rPr>
                <w:rFonts w:hint="eastAsia"/>
              </w:rPr>
              <w:t xml:space="preserve">Option 2: Yes. RAN4 </w:t>
            </w:r>
            <w:r>
              <w:rPr>
                <w:rFonts w:hint="default"/>
              </w:rPr>
              <w:t>to consider relaxation for proximity</w:t>
            </w:r>
            <w:r>
              <w:rPr>
                <w:rFonts w:hint="eastAsia"/>
              </w:rPr>
              <w:t>,</w:t>
            </w:r>
            <w:r>
              <w:rPr>
                <w:rFonts w:hint="default"/>
              </w:rPr>
              <w:t xml:space="preserve"> i.e.,</w:t>
            </w:r>
          </w:p>
          <w:p>
            <w:pPr>
              <w:pStyle w:val="65"/>
              <w:keepNext w:val="0"/>
              <w:keepLines w:val="0"/>
              <w:widowControl/>
              <w:numPr>
                <w:ilvl w:val="0"/>
                <w:numId w:val="6"/>
              </w:numPr>
              <w:suppressLineNumbers w:val="0"/>
              <w:spacing w:before="0" w:beforeAutospacing="0" w:after="0" w:afterAutospacing="0"/>
              <w:ind w:left="2142" w:right="0"/>
              <w:rPr>
                <w:rFonts w:hint="default"/>
                <w:bCs/>
                <w:sz w:val="20"/>
                <w:szCs w:val="20"/>
              </w:rPr>
            </w:pPr>
            <w:r>
              <w:rPr>
                <w:rFonts w:hint="default"/>
                <w:bCs/>
                <w:sz w:val="20"/>
                <w:szCs w:val="20"/>
              </w:rPr>
              <w:t xml:space="preserve">When (e)RedCap UE is configured with more than one SMTC on a SAN carrier, two SMTC occasions outside measurement gap are considered </w:t>
            </w:r>
            <w:r>
              <w:rPr>
                <w:rFonts w:hint="default"/>
                <w:b/>
                <w:bCs/>
                <w:sz w:val="20"/>
                <w:szCs w:val="20"/>
              </w:rPr>
              <w:t>colliding</w:t>
            </w:r>
            <w:r>
              <w:rPr>
                <w:rFonts w:hint="default"/>
                <w:bCs/>
                <w:sz w:val="20"/>
                <w:szCs w:val="20"/>
              </w:rPr>
              <w:t> if at least one of the following conditions is met:</w:t>
            </w:r>
          </w:p>
          <w:p>
            <w:pPr>
              <w:pStyle w:val="65"/>
              <w:keepNext w:val="0"/>
              <w:keepLines w:val="0"/>
              <w:widowControl/>
              <w:numPr>
                <w:ilvl w:val="0"/>
                <w:numId w:val="7"/>
              </w:numPr>
              <w:suppressLineNumbers w:val="0"/>
              <w:spacing w:before="0" w:beforeAutospacing="0" w:after="0" w:afterAutospacing="0"/>
              <w:ind w:left="2562" w:right="0"/>
              <w:rPr>
                <w:rFonts w:hint="default"/>
                <w:bCs/>
                <w:sz w:val="20"/>
                <w:szCs w:val="20"/>
              </w:rPr>
            </w:pPr>
            <w:r>
              <w:rPr>
                <w:rFonts w:hint="default"/>
                <w:bCs/>
                <w:sz w:val="20"/>
                <w:szCs w:val="20"/>
              </w:rPr>
              <w:t>the two SMTC occasions are fully or partially overlapping in time domain, or</w:t>
            </w:r>
          </w:p>
          <w:p>
            <w:pPr>
              <w:pStyle w:val="65"/>
              <w:keepNext w:val="0"/>
              <w:keepLines w:val="0"/>
              <w:widowControl/>
              <w:numPr>
                <w:ilvl w:val="0"/>
                <w:numId w:val="7"/>
              </w:numPr>
              <w:suppressLineNumbers w:val="0"/>
              <w:spacing w:before="0" w:beforeAutospacing="0" w:after="0" w:afterAutospacing="0"/>
              <w:ind w:left="2562" w:right="0"/>
              <w:rPr>
                <w:rFonts w:hint="default" w:eastAsia="宋体"/>
                <w:sz w:val="20"/>
                <w:szCs w:val="20"/>
                <w:vertAlign w:val="baseline"/>
                <w:lang w:val="en-US" w:eastAsia="zh-CN"/>
              </w:rPr>
            </w:pPr>
            <w:r>
              <w:rPr>
                <w:rFonts w:hint="default"/>
                <w:bCs/>
                <w:sz w:val="20"/>
                <w:szCs w:val="20"/>
              </w:rPr>
              <w:t>the magnitude of the distance between two SMTC occasions in time domain is less than or equals to (4+x) ms. (x is the relaxation for (eRedCap UE)), x can be FFS. (1ms as starting point)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There are two options for whether re-define the proximity distance or not. Some companies deem that the proximity distance shall be relaxed, and some companies think it is not reasonable to relax the proximity distance. From my perspective, the conditions for judging the collision between one more SMTCs refers to the conditions in concurrent gap. Since companies have concern that if more SMTCs have closed distance, the time for re-tuning and re-scheduling will be timeless. Thus, 4s shall also be one of conditions to judge the collision between one more SMTCs. However, the proponents shall provide concrete reasons for that RedCap UEs</w:t>
      </w:r>
      <w:r>
        <w:rPr>
          <w:rFonts w:hint="default" w:eastAsia="宋体"/>
          <w:sz w:val="20"/>
          <w:szCs w:val="20"/>
          <w:lang w:val="en-US" w:eastAsia="zh-CN"/>
        </w:rPr>
        <w:t>’</w:t>
      </w:r>
      <w:r>
        <w:rPr>
          <w:rFonts w:hint="eastAsia" w:eastAsia="宋体"/>
          <w:sz w:val="20"/>
          <w:szCs w:val="20"/>
          <w:lang w:val="en-US" w:eastAsia="zh-CN"/>
        </w:rPr>
        <w:t xml:space="preserve"> post-processing is worse than non-RedCap UEs, which will impact the time of re-tuning or re-scheduling. In (e)RedCap WI, there is no conclusion regarding RF re-tuning time and re-scheduling time for both RedCap UEs and non-RedCap UEs, which we can not say both two kinds of time must have significant differences easily. Consequently, we support option 1 firstly if there is no concrete reason to explain which part in RedCap UE will have impact on proximity distance relaxation.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b/>
          <w:bCs/>
          <w:sz w:val="20"/>
          <w:szCs w:val="20"/>
          <w:lang w:val="en-US" w:eastAsia="zh-CN"/>
        </w:rPr>
      </w:pPr>
      <w:r>
        <w:rPr>
          <w:rFonts w:hint="eastAsia" w:eastAsia="宋体"/>
          <w:b/>
          <w:bCs/>
          <w:sz w:val="20"/>
          <w:szCs w:val="20"/>
          <w:lang w:val="en-US" w:eastAsia="zh-CN"/>
        </w:rPr>
        <w:t>Observation 2: In (e)RedCap WI, there is no conclusion regarding RF re-tuning time and re-scheduling time for both RedCap UEs and non-RedCap UEs, which we can not say both two kinds of time must have significant differences easily.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2: RAN4 shall reuse the legacy collision conditions between two SMTCs.</w:t>
      </w:r>
    </w:p>
    <w:p>
      <w:pPr>
        <w:pStyle w:val="4"/>
        <w:bidi w:val="0"/>
        <w:rPr>
          <w:rFonts w:hint="eastAsia"/>
          <w:sz w:val="24"/>
          <w:szCs w:val="18"/>
          <w:lang w:val="en-US" w:eastAsia="ko-KR"/>
        </w:rPr>
      </w:pPr>
      <w:r>
        <w:rPr>
          <w:rFonts w:hint="eastAsia"/>
          <w:sz w:val="24"/>
          <w:szCs w:val="18"/>
          <w:lang w:val="en-US" w:eastAsia="ko-KR"/>
        </w:rPr>
        <w:t>Issue 1-2-3-3: The number of cells/SSBs/supported satellites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clarify the number of cells, SSBs and supported satellites for RedCap UEs in this meeting. We could split two parts to consider: one for the number of supported satellites, the other one is the number of cells and SSBs.</w:t>
      </w:r>
    </w:p>
    <w:p>
      <w:pPr>
        <w:keepNext w:val="0"/>
        <w:keepLines w:val="0"/>
        <w:pageBreakBefore w:val="0"/>
        <w:widowControl/>
        <w:numPr>
          <w:ilvl w:val="0"/>
          <w:numId w:val="8"/>
        </w:numPr>
        <w:kinsoku/>
        <w:wordWrap/>
        <w:overflowPunct/>
        <w:topLinePunct w:val="0"/>
        <w:autoSpaceDE/>
        <w:autoSpaceDN/>
        <w:bidi w:val="0"/>
        <w:adjustRightInd/>
        <w:snapToGrid/>
        <w:spacing w:beforeLines="50" w:after="0" w:afterLines="50"/>
        <w:jc w:val="both"/>
        <w:textAlignment w:val="auto"/>
        <w:rPr>
          <w:rFonts w:hint="default" w:eastAsia="宋体"/>
          <w:i/>
          <w:iCs/>
          <w:sz w:val="20"/>
          <w:szCs w:val="20"/>
          <w:lang w:val="en-US" w:eastAsia="zh-CN"/>
        </w:rPr>
      </w:pPr>
      <w:r>
        <w:rPr>
          <w:rFonts w:hint="eastAsia" w:eastAsia="宋体"/>
          <w:i/>
          <w:iCs/>
          <w:sz w:val="20"/>
          <w:szCs w:val="20"/>
          <w:lang w:val="en-US" w:eastAsia="zh-CN"/>
        </w:rPr>
        <w:t>The number of supported satellites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feature 25-7, the concrete description could be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6"/>
              <w:widowControl/>
              <w:suppressLineNumbers w:val="0"/>
              <w:spacing w:before="0" w:beforeAutospacing="0" w:afterAutospacing="0"/>
              <w:ind w:left="0" w:right="0"/>
              <w:rPr>
                <w:rFonts w:hint="default"/>
                <w:b/>
                <w:i/>
                <w:szCs w:val="20"/>
                <w:lang w:eastAsia="en-US"/>
              </w:rPr>
            </w:pPr>
            <w:r>
              <w:rPr>
                <w:rFonts w:hint="default"/>
                <w:b/>
                <w:i/>
                <w:szCs w:val="20"/>
              </w:rPr>
              <w:t>maxNumber-NGSO-SatellitesPerCarrier-r17</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vertAlign w:val="baseline"/>
                <w:lang w:val="en-US" w:eastAsia="zh-CN"/>
              </w:rPr>
            </w:pPr>
            <w:r>
              <w:rPr>
                <w:rFonts w:hint="default"/>
                <w:sz w:val="20"/>
                <w:szCs w:val="20"/>
              </w:rPr>
              <w:t xml:space="preserve">Indicates the number of target </w:t>
            </w:r>
            <w:r>
              <w:rPr>
                <w:rFonts w:hint="default"/>
                <w:bCs/>
                <w:iCs/>
                <w:sz w:val="20"/>
                <w:szCs w:val="20"/>
              </w:rPr>
              <w:t>NGSO</w:t>
            </w:r>
            <w:r>
              <w:rPr>
                <w:rFonts w:hint="default"/>
                <w:sz w:val="20"/>
                <w:szCs w:val="20"/>
              </w:rPr>
              <w:t xml:space="preserve"> satellites the UE can monitor per carrier. For serving carrier, the number of target </w:t>
            </w:r>
            <w:r>
              <w:rPr>
                <w:rFonts w:hint="default"/>
                <w:bCs/>
                <w:iCs/>
                <w:sz w:val="20"/>
                <w:szCs w:val="20"/>
              </w:rPr>
              <w:t>NGSO</w:t>
            </w:r>
            <w:r>
              <w:rPr>
                <w:rFonts w:hint="default"/>
                <w:sz w:val="20"/>
                <w:szCs w:val="20"/>
              </w:rPr>
              <w:t xml:space="preserve"> satellites also includes the serving satellite. If this field is not included, the number of target satellites UE can monitor per carrier is 2. </w:t>
            </w:r>
            <w:r>
              <w:rPr>
                <w:rFonts w:hint="default" w:cs="Arial" w:eastAsiaTheme="minorEastAsia"/>
                <w:sz w:val="20"/>
                <w:szCs w:val="20"/>
                <w:lang w:eastAsia="zh-CN"/>
              </w:rPr>
              <w:t xml:space="preserve">The value shall be larger than or equal to the reported value on </w:t>
            </w:r>
            <w:r>
              <w:rPr>
                <w:rFonts w:hint="default" w:cs="Arial" w:eastAsiaTheme="minorEastAsia"/>
                <w:i/>
                <w:iCs/>
                <w:sz w:val="20"/>
                <w:szCs w:val="20"/>
                <w:lang w:eastAsia="zh-CN"/>
              </w:rPr>
              <w:t>maxNumber-NGSO-SatellitesWithinOneSMTC-r17</w:t>
            </w:r>
            <w:r>
              <w:rPr>
                <w:rFonts w:hint="default" w:cs="Arial" w:eastAsiaTheme="minorEastAsia"/>
                <w:sz w:val="20"/>
                <w:szCs w:val="20"/>
                <w:lang w:eastAsia="zh-CN"/>
              </w:rPr>
              <w:t>.</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lang w:val="en-US" w:eastAsia="zh-CN"/>
        </w:rPr>
      </w:pPr>
      <w:r>
        <w:rPr>
          <w:rFonts w:hint="eastAsia" w:eastAsia="宋体"/>
          <w:sz w:val="20"/>
          <w:szCs w:val="20"/>
          <w:lang w:val="en-US" w:eastAsia="zh-CN"/>
        </w:rPr>
        <w:t xml:space="preserve">From our perspective, UE is mandatorily to support measure 2 NGSOs per carrier which including satellite serving the PCell as described in [2]. The maximum value on feature25-5 is 4, and value on feature 25-7 could be 3 or 4 if UE supports feature 25-7. In [2], it says that </w:t>
      </w:r>
      <w:r>
        <w:rPr>
          <w:lang w:eastAsia="zh-TW"/>
        </w:rPr>
        <w:t xml:space="preserve">cells from 3 or 4 satellites including the satellite serving the PCell, depending on the value indicated in </w:t>
      </w:r>
      <w:r>
        <w:rPr>
          <w:i/>
          <w:iCs/>
          <w:lang w:eastAsia="zh-TW"/>
        </w:rPr>
        <w:t>maxNumber-NGSO-SatellitesPerCarrier-r17</w:t>
      </w:r>
      <w:r>
        <w:rPr>
          <w:lang w:eastAsia="zh-TW"/>
        </w:rPr>
        <w:t>.</w:t>
      </w:r>
      <w:r>
        <w:rPr>
          <w:rFonts w:hint="eastAsia" w:eastAsia="宋体"/>
          <w:lang w:val="en-US" w:eastAsia="zh-CN"/>
        </w:rPr>
        <w:t xml:space="preserve"> Thus , we deem that the legacy number of supported satellites could be reused since there is no impact on types of UEs.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eastAsia="宋体"/>
          <w:b/>
          <w:bCs/>
          <w:lang w:val="en-US" w:eastAsia="zh-CN"/>
        </w:rPr>
      </w:pPr>
      <w:r>
        <w:rPr>
          <w:rFonts w:hint="eastAsia" w:eastAsia="宋体"/>
          <w:b/>
          <w:bCs/>
          <w:lang w:val="en-US" w:eastAsia="zh-CN"/>
        </w:rPr>
        <w:t xml:space="preserve">Proposal 3: </w:t>
      </w:r>
      <w:r>
        <w:rPr>
          <w:rFonts w:hint="eastAsia"/>
          <w:b/>
          <w:bCs/>
        </w:rPr>
        <w:t xml:space="preserve">For the number of target LEO satellites the UE can monitor per carrier including serving satellite, legacy UE capability (Feature 25-7, </w:t>
      </w:r>
      <w:r>
        <w:rPr>
          <w:rFonts w:eastAsiaTheme="minorEastAsia"/>
          <w:b/>
          <w:bCs/>
          <w:i/>
          <w:iCs/>
        </w:rPr>
        <w:t>maxNumber-LEO-SatellitesPerCarrier-r17</w:t>
      </w:r>
      <w:r>
        <w:rPr>
          <w:rFonts w:hint="eastAsia"/>
          <w:b/>
          <w:bCs/>
        </w:rPr>
        <w:t xml:space="preserve">) can be reused for </w:t>
      </w:r>
      <w:r>
        <w:rPr>
          <w:rFonts w:eastAsiaTheme="minorEastAsia"/>
          <w:b/>
          <w:bCs/>
          <w:iCs/>
        </w:rPr>
        <w:t>RedCap UE</w:t>
      </w:r>
      <w:r>
        <w:rPr>
          <w:rFonts w:hint="eastAsia" w:eastAsiaTheme="minorEastAsia"/>
          <w:b/>
          <w:bCs/>
          <w:iCs/>
        </w:rPr>
        <w:t>.</w:t>
      </w:r>
    </w:p>
    <w:p>
      <w:pPr>
        <w:keepNext w:val="0"/>
        <w:keepLines w:val="0"/>
        <w:pageBreakBefore w:val="0"/>
        <w:widowControl/>
        <w:numPr>
          <w:ilvl w:val="0"/>
          <w:numId w:val="8"/>
        </w:numPr>
        <w:kinsoku/>
        <w:wordWrap/>
        <w:overflowPunct/>
        <w:topLinePunct w:val="0"/>
        <w:autoSpaceDE/>
        <w:autoSpaceDN/>
        <w:bidi w:val="0"/>
        <w:adjustRightInd/>
        <w:snapToGrid/>
        <w:spacing w:beforeLines="50" w:after="0" w:afterLines="50"/>
        <w:jc w:val="both"/>
        <w:textAlignment w:val="auto"/>
        <w:rPr>
          <w:rFonts w:hint="default" w:eastAsia="宋体"/>
          <w:i/>
          <w:iCs/>
          <w:sz w:val="20"/>
          <w:szCs w:val="20"/>
          <w:lang w:val="en-US" w:eastAsia="zh-CN"/>
        </w:rPr>
      </w:pPr>
      <w:r>
        <w:rPr>
          <w:rFonts w:hint="eastAsia" w:eastAsia="宋体"/>
          <w:i/>
          <w:iCs/>
          <w:sz w:val="20"/>
          <w:szCs w:val="20"/>
          <w:lang w:val="en-US" w:eastAsia="zh-CN"/>
        </w:rPr>
        <w:t>The number of cells and SSBs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From our perspective, considering the supported number of cells and SSBs, we deem that the number for normal NTN UE shall be reused for NTN RedCap UE. Since in TN network, the number of cells and SSBs are reused for RedCap UEs. Thus, it means this UE measurement capability would not consider the types of UE. Based on the clause 9 in [2], we can observed that the number of SSBs for NTN normal UEs is reduced to 8 for NGSO and 4 for GSO in legacy. Based on the above logic, legacy the number of cells and SSBs could be reused for RedCap UE in NTN scenario.</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0"/>
          <w:szCs w:val="20"/>
          <w:lang w:val="en-US" w:eastAsia="zh-CN"/>
        </w:rPr>
      </w:pPr>
      <w:r>
        <w:rPr>
          <w:rFonts w:hint="eastAsia" w:eastAsia="宋体"/>
          <w:b/>
          <w:bCs/>
          <w:sz w:val="20"/>
          <w:szCs w:val="20"/>
          <w:lang w:val="en-US" w:eastAsia="zh-CN"/>
        </w:rPr>
        <w:t>Observation 3: In TN network, the number of cells and SSBs used for normal UEs are reused for RedCap UEs.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4: The number of cells and SSBs used for normal UE shall be reused for RedCap UEs in NTN scenario.</w:t>
      </w:r>
    </w:p>
    <w:p>
      <w:pPr>
        <w:pStyle w:val="4"/>
        <w:bidi w:val="0"/>
        <w:rPr>
          <w:rFonts w:hint="eastAsia"/>
          <w:sz w:val="24"/>
          <w:szCs w:val="18"/>
          <w:lang w:val="en-US" w:eastAsia="ko-KR"/>
        </w:rPr>
      </w:pPr>
      <w:r>
        <w:rPr>
          <w:rFonts w:hint="eastAsia"/>
          <w:sz w:val="24"/>
          <w:szCs w:val="18"/>
          <w:lang w:val="en-US" w:eastAsia="ko-KR"/>
        </w:rPr>
        <w:t>Issue 1-2-3-5: Feature 25-3(parallelMeasurementGap)</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previous meetings, we have the way forward on this issues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240" w:beforeAutospacing="0" w:afterAutospacing="0"/>
              <w:ind w:left="0" w:right="0"/>
              <w:rPr>
                <w:rFonts w:hint="default"/>
                <w:b/>
                <w:sz w:val="20"/>
                <w:szCs w:val="20"/>
                <w:lang w:eastAsia="zh-CN"/>
              </w:rPr>
            </w:pPr>
            <w:r>
              <w:rPr>
                <w:rFonts w:hint="default"/>
                <w:b/>
                <w:sz w:val="20"/>
                <w:szCs w:val="20"/>
              </w:rPr>
              <w:t>&lt;Way Forward&gt;</w:t>
            </w:r>
            <w:r>
              <w:rPr>
                <w:rFonts w:hint="eastAsia"/>
                <w:b/>
                <w:sz w:val="20"/>
                <w:szCs w:val="20"/>
                <w:lang w:eastAsia="zh-CN"/>
              </w:rPr>
              <w:t>:</w:t>
            </w:r>
          </w:p>
          <w:p>
            <w:pPr>
              <w:pStyle w:val="75"/>
              <w:keepNext w:val="0"/>
              <w:keepLines w:val="0"/>
              <w:widowControl/>
              <w:numPr>
                <w:ilvl w:val="0"/>
                <w:numId w:val="5"/>
              </w:numPr>
              <w:suppressLineNumbers w:val="0"/>
              <w:spacing w:before="0" w:beforeAutospacing="0" w:after="120" w:afterAutospacing="0"/>
              <w:ind w:left="720" w:right="0"/>
              <w:contextualSpacing w:val="0"/>
              <w:rPr>
                <w:rFonts w:hint="default"/>
              </w:rPr>
            </w:pPr>
            <w:r>
              <w:rPr>
                <w:rFonts w:hint="eastAsia"/>
              </w:rPr>
              <w:t xml:space="preserve">For whether to </w:t>
            </w:r>
            <w:r>
              <w:rPr>
                <w:rFonts w:hint="default"/>
              </w:rPr>
              <w:t>define RRM requirements</w:t>
            </w:r>
            <w:r>
              <w:rPr>
                <w:rFonts w:hint="eastAsia"/>
              </w:rPr>
              <w:t xml:space="preserve"> for </w:t>
            </w:r>
            <w:r>
              <w:rPr>
                <w:rFonts w:hint="eastAsia"/>
                <w:b/>
              </w:rPr>
              <w:t>Feature 25-3</w:t>
            </w:r>
            <w:r>
              <w:rPr>
                <w:rFonts w:hint="eastAsia"/>
                <w:i/>
              </w:rPr>
              <w:t>(</w:t>
            </w:r>
            <w:r>
              <w:rPr>
                <w:rFonts w:hint="default"/>
                <w:i/>
              </w:rPr>
              <w:t>parallelMeasurementGap-r17</w:t>
            </w:r>
            <w:r>
              <w:rPr>
                <w:rFonts w:hint="eastAsia"/>
                <w:i/>
              </w:rPr>
              <w:t>)</w:t>
            </w:r>
            <w:r>
              <w:rPr>
                <w:rFonts w:hint="eastAsia"/>
              </w:rPr>
              <w:t xml:space="preserve"> for (e)RedCap UEs,</w:t>
            </w:r>
          </w:p>
          <w:p>
            <w:pPr>
              <w:pStyle w:val="75"/>
              <w:keepNext w:val="0"/>
              <w:keepLines w:val="0"/>
              <w:widowControl/>
              <w:numPr>
                <w:ilvl w:val="1"/>
                <w:numId w:val="5"/>
              </w:numPr>
              <w:suppressLineNumbers w:val="0"/>
              <w:spacing w:before="120" w:beforeAutospacing="0" w:after="120" w:afterAutospacing="0"/>
              <w:ind w:left="1655" w:right="0" w:hanging="357"/>
              <w:contextualSpacing w:val="0"/>
              <w:rPr>
                <w:rFonts w:hint="default"/>
              </w:rPr>
            </w:pPr>
            <w:r>
              <w:rPr>
                <w:rFonts w:hint="default"/>
              </w:rPr>
              <w:t xml:space="preserve">Proposal </w:t>
            </w:r>
            <w:r>
              <w:rPr>
                <w:rFonts w:hint="eastAsia"/>
              </w:rPr>
              <w:t>1</w:t>
            </w:r>
            <w:r>
              <w:rPr>
                <w:rFonts w:hint="default"/>
              </w:rPr>
              <w:t>:</w:t>
            </w:r>
            <w:r>
              <w:rPr>
                <w:rFonts w:hint="eastAsia"/>
              </w:rPr>
              <w:t xml:space="preserve"> Support to define.</w:t>
            </w:r>
          </w:p>
          <w:p>
            <w:pPr>
              <w:pStyle w:val="75"/>
              <w:keepNext w:val="0"/>
              <w:keepLines w:val="0"/>
              <w:widowControl/>
              <w:numPr>
                <w:ilvl w:val="2"/>
                <w:numId w:val="5"/>
              </w:numPr>
              <w:suppressLineNumbers w:val="0"/>
              <w:snapToGrid w:val="0"/>
              <w:spacing w:before="0" w:beforeAutospacing="0" w:after="120" w:afterAutospacing="0"/>
              <w:ind w:right="0" w:hanging="357"/>
              <w:contextualSpacing w:val="0"/>
              <w:rPr>
                <w:rFonts w:hint="default"/>
              </w:rPr>
            </w:pPr>
            <w:r>
              <w:rPr>
                <w:rFonts w:hint="default"/>
              </w:rPr>
              <w:t xml:space="preserve">Proposal </w:t>
            </w:r>
            <w:r>
              <w:rPr>
                <w:rFonts w:hint="eastAsia"/>
              </w:rPr>
              <w:t>1</w:t>
            </w:r>
            <w:r>
              <w:rPr>
                <w:rFonts w:hint="eastAsia"/>
                <w:lang w:eastAsia="zh-CN"/>
              </w:rPr>
              <w:t>a</w:t>
            </w:r>
            <w:r>
              <w:rPr>
                <w:rFonts w:hint="default"/>
              </w:rPr>
              <w:t>:</w:t>
            </w:r>
            <w:r>
              <w:rPr>
                <w:rFonts w:hint="eastAsia"/>
              </w:rPr>
              <w:t xml:space="preserve"> T</w:t>
            </w:r>
            <w:r>
              <w:rPr>
                <w:rFonts w:hint="default"/>
              </w:rPr>
              <w:t>he UE capabilit</w:t>
            </w:r>
            <w:r>
              <w:rPr>
                <w:rFonts w:hint="eastAsia"/>
              </w:rPr>
              <w:t>y</w:t>
            </w:r>
            <w:r>
              <w:rPr>
                <w:rFonts w:hint="default"/>
              </w:rPr>
              <w:t xml:space="preserve"> </w:t>
            </w:r>
            <w:r>
              <w:rPr>
                <w:rFonts w:hint="eastAsia"/>
              </w:rPr>
              <w:t>is</w:t>
            </w:r>
            <w:r>
              <w:rPr>
                <w:rFonts w:hint="default"/>
              </w:rPr>
              <w:t xml:space="preserve"> applicable, and the support of the</w:t>
            </w:r>
            <w:r>
              <w:rPr>
                <w:rFonts w:hint="default"/>
                <w:b/>
              </w:rPr>
              <w:t xml:space="preserve"> optional </w:t>
            </w:r>
            <w:r>
              <w:rPr>
                <w:rFonts w:hint="default"/>
              </w:rPr>
              <w:t>features is left to UE implementation following the same principle of the existing non-RedCap requirements.</w:t>
            </w:r>
          </w:p>
          <w:p>
            <w:pPr>
              <w:pStyle w:val="75"/>
              <w:keepNext w:val="0"/>
              <w:keepLines w:val="0"/>
              <w:widowControl/>
              <w:numPr>
                <w:ilvl w:val="2"/>
                <w:numId w:val="5"/>
              </w:numPr>
              <w:suppressLineNumbers w:val="0"/>
              <w:snapToGrid w:val="0"/>
              <w:spacing w:before="0" w:beforeAutospacing="0" w:after="120" w:afterAutospacing="0"/>
              <w:ind w:right="0" w:hanging="357"/>
              <w:contextualSpacing w:val="0"/>
              <w:rPr>
                <w:rFonts w:hint="default" w:eastAsia="宋体"/>
                <w:sz w:val="20"/>
                <w:szCs w:val="20"/>
                <w:vertAlign w:val="baseline"/>
                <w:lang w:val="en-US" w:eastAsia="zh-CN"/>
              </w:rPr>
            </w:pPr>
            <w:r>
              <w:rPr>
                <w:rFonts w:hint="eastAsia"/>
              </w:rPr>
              <w:t xml:space="preserve">Proposal 1b: The capability can be </w:t>
            </w:r>
            <w:r>
              <w:rPr>
                <w:rFonts w:hint="eastAsia"/>
                <w:b/>
              </w:rPr>
              <w:t>optionally</w:t>
            </w:r>
            <w:r>
              <w:rPr>
                <w:rFonts w:hint="eastAsia"/>
              </w:rPr>
              <w:t xml:space="preserve"> supported by (e)RedCap UEs with </w:t>
            </w:r>
            <w:r>
              <w:rPr>
                <w:rFonts w:hint="eastAsia"/>
                <w:b/>
              </w:rPr>
              <w:t>2Rx</w:t>
            </w:r>
            <w:r>
              <w:rPr>
                <w:rFonts w:hint="eastAsia"/>
              </w:rPr>
              <w:t xml:space="preserve">, can </w:t>
            </w:r>
            <w:r>
              <w:rPr>
                <w:rFonts w:hint="eastAsia"/>
                <w:b/>
              </w:rPr>
              <w:t>not</w:t>
            </w:r>
            <w:r>
              <w:rPr>
                <w:rFonts w:hint="eastAsia"/>
              </w:rPr>
              <w:t xml:space="preserve"> be supported by (e)RedCap UEs with </w:t>
            </w:r>
            <w:r>
              <w:rPr>
                <w:rFonts w:hint="eastAsia"/>
                <w:b/>
              </w:rPr>
              <w:t>1Rx</w:t>
            </w:r>
            <w:r>
              <w:rPr>
                <w:rFonts w:hint="eastAsia"/>
              </w:rPr>
              <w:t xml:space="preserve">. </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feature 25-3, this feature is optional, so the requirements is up to UE implementation like the feature 25-5. We shall not preclude this feature for RedCap UEs.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ascii="Times New Roman" w:hAnsi="Times New Roman" w:cs="Times New Roman"/>
          <w:b/>
          <w:bCs/>
          <w:sz w:val="20"/>
        </w:rPr>
      </w:pPr>
      <w:r>
        <w:rPr>
          <w:rFonts w:hint="eastAsia" w:eastAsia="宋体"/>
          <w:b/>
          <w:bCs/>
          <w:sz w:val="20"/>
          <w:szCs w:val="20"/>
          <w:lang w:val="en-US" w:eastAsia="zh-CN"/>
        </w:rPr>
        <w:t xml:space="preserve">Proposal 5: </w:t>
      </w:r>
      <w:r>
        <w:rPr>
          <w:rFonts w:ascii="Times New Roman" w:hAnsi="Times New Roman" w:cs="Times New Roman"/>
          <w:b/>
          <w:bCs/>
          <w:sz w:val="20"/>
        </w:rPr>
        <w:t xml:space="preserve">The capability </w:t>
      </w:r>
      <w:r>
        <w:rPr>
          <w:rFonts w:hint="eastAsia" w:ascii="Times New Roman" w:hAnsi="Times New Roman" w:cs="Times New Roman"/>
          <w:b/>
          <w:bCs/>
          <w:sz w:val="20"/>
        </w:rPr>
        <w:t>Feature 25-3(parallelMeasurementGap-r17)</w:t>
      </w:r>
      <w:r>
        <w:rPr>
          <w:rFonts w:ascii="Times New Roman" w:hAnsi="Times New Roman" w:cs="Times New Roman"/>
          <w:b/>
          <w:bCs/>
          <w:sz w:val="20"/>
        </w:rPr>
        <w:t xml:space="preserve"> is valid for RedCap UE.</w:t>
      </w:r>
    </w:p>
    <w:p>
      <w:pPr>
        <w:pStyle w:val="81"/>
        <w:numPr>
          <w:ilvl w:val="1"/>
          <w:numId w:val="0"/>
        </w:numPr>
        <w:rPr>
          <w:rFonts w:hint="default"/>
          <w:lang w:val="en-US" w:eastAsia="zh-CN"/>
        </w:rPr>
      </w:pPr>
      <w:r>
        <w:rPr>
          <w:rFonts w:hint="eastAsia"/>
          <w:lang w:eastAsia="zh-CN"/>
        </w:rPr>
        <w:t>2.</w:t>
      </w:r>
      <w:r>
        <w:rPr>
          <w:rFonts w:hint="eastAsia"/>
          <w:lang w:val="en-US" w:eastAsia="zh-CN"/>
        </w:rPr>
        <w:t>2 Reduction in the number of UE Rx branches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RAN4 has spent several meetings in discussing the reduction in the number of UE Rx branches. Some issues are still under discussion and we would like to provide our views on the following issues.</w:t>
      </w:r>
    </w:p>
    <w:p>
      <w:pPr>
        <w:pStyle w:val="4"/>
        <w:keepNext/>
        <w:keepLines/>
        <w:pageBreakBefore w:val="0"/>
        <w:widowControl/>
        <w:kinsoku/>
        <w:wordWrap/>
        <w:overflowPunct/>
        <w:topLinePunct w:val="0"/>
        <w:autoSpaceDE/>
        <w:autoSpaceDN/>
        <w:bidi w:val="0"/>
        <w:adjustRightInd/>
        <w:snapToGrid/>
        <w:ind w:left="0" w:firstLine="0"/>
        <w:jc w:val="both"/>
        <w:textAlignment w:val="auto"/>
        <w:rPr>
          <w:rFonts w:hint="eastAsia"/>
          <w:sz w:val="24"/>
          <w:szCs w:val="18"/>
          <w:lang w:val="en-US" w:eastAsia="zh-CN"/>
        </w:rPr>
      </w:pPr>
      <w:r>
        <w:rPr>
          <w:rFonts w:hint="eastAsia"/>
          <w:sz w:val="24"/>
          <w:szCs w:val="18"/>
          <w:lang w:val="en-US" w:eastAsia="ko-KR"/>
        </w:rPr>
        <w:t>Issue 2-1-1: Enhanced cell reselection measurement requirements for 1Rx/2Rx (e)RedCap UE with FR1-NTN</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In previous meetings, we discussed normal cell re-selection requirements for RedCap UEs. In [2], we find that the enhanced cell re-selection measurement requiremnets for 1Rx/2Rx RedCap UEs with FR1-NTN shall also be defined for RedCap UEs in NTN scenario. The following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240" w:beforeAutospacing="0" w:afterAutospacing="0"/>
              <w:ind w:left="0" w:right="0"/>
              <w:rPr>
                <w:rFonts w:hint="default"/>
                <w:b/>
                <w:sz w:val="20"/>
                <w:szCs w:val="20"/>
                <w:lang w:eastAsia="zh-CN"/>
              </w:rPr>
            </w:pPr>
            <w:r>
              <w:rPr>
                <w:rFonts w:hint="default"/>
                <w:b/>
                <w:sz w:val="20"/>
                <w:szCs w:val="20"/>
              </w:rPr>
              <w:t>&lt;Way Forward&gt;</w:t>
            </w:r>
            <w:r>
              <w:rPr>
                <w:rFonts w:hint="eastAsia"/>
                <w:b/>
                <w:sz w:val="20"/>
                <w:szCs w:val="20"/>
                <w:lang w:eastAsia="zh-CN"/>
              </w:rPr>
              <w:t>:</w:t>
            </w:r>
          </w:p>
          <w:p>
            <w:pPr>
              <w:pStyle w:val="75"/>
              <w:keepNext w:val="0"/>
              <w:keepLines w:val="0"/>
              <w:widowControl/>
              <w:numPr>
                <w:ilvl w:val="1"/>
                <w:numId w:val="5"/>
              </w:numPr>
              <w:suppressLineNumbers w:val="0"/>
              <w:spacing w:before="0" w:beforeAutospacing="0" w:after="120" w:afterAutospacing="0"/>
              <w:ind w:right="0"/>
              <w:contextualSpacing w:val="0"/>
              <w:rPr>
                <w:rFonts w:hint="default"/>
                <w:bCs/>
              </w:rPr>
            </w:pPr>
            <w:r>
              <w:rPr>
                <w:rFonts w:hint="default"/>
                <w:bCs/>
              </w:rPr>
              <w:t xml:space="preserve">Proposal 1: Enhanced RRM requirements for measurements in IDLE and INACTIVE modes </w:t>
            </w:r>
            <w:r>
              <w:rPr>
                <w:rFonts w:hint="eastAsia"/>
                <w:bCs/>
              </w:rPr>
              <w:t>are</w:t>
            </w:r>
            <w:r>
              <w:rPr>
                <w:rFonts w:hint="default"/>
                <w:bCs/>
              </w:rPr>
              <w:t xml:space="preserve"> kept optional in Redcap over NTN.</w:t>
            </w:r>
          </w:p>
          <w:p>
            <w:pPr>
              <w:pStyle w:val="75"/>
              <w:keepNext w:val="0"/>
              <w:keepLines w:val="0"/>
              <w:widowControl/>
              <w:numPr>
                <w:ilvl w:val="2"/>
                <w:numId w:val="5"/>
              </w:numPr>
              <w:suppressLineNumbers w:val="0"/>
              <w:snapToGrid w:val="0"/>
              <w:spacing w:before="0" w:beforeAutospacing="0" w:after="120" w:afterAutospacing="0"/>
              <w:ind w:right="0" w:hanging="357"/>
              <w:contextualSpacing w:val="0"/>
              <w:rPr>
                <w:rFonts w:hint="default"/>
                <w:bCs/>
              </w:rPr>
            </w:pPr>
            <w:r>
              <w:rPr>
                <w:rFonts w:hint="default"/>
                <w:bCs/>
              </w:rPr>
              <w:t>Proposal 1</w:t>
            </w:r>
            <w:r>
              <w:rPr>
                <w:rFonts w:hint="eastAsia"/>
                <w:bCs/>
              </w:rPr>
              <w:t>a</w:t>
            </w:r>
            <w:r>
              <w:rPr>
                <w:rFonts w:hint="default"/>
                <w:bCs/>
              </w:rPr>
              <w:t xml:space="preserve">: </w:t>
            </w:r>
            <w:r>
              <w:rPr>
                <w:rFonts w:hint="eastAsia"/>
                <w:bCs/>
              </w:rPr>
              <w:t>Define enhanced cell reselection measurement requirement for RedCap UE not configured with eDRX_IDLE cycle, the requirement for normal UEs can be reused.</w:t>
            </w:r>
          </w:p>
          <w:p>
            <w:pPr>
              <w:pStyle w:val="75"/>
              <w:keepNext w:val="0"/>
              <w:keepLines w:val="0"/>
              <w:widowControl/>
              <w:numPr>
                <w:ilvl w:val="2"/>
                <w:numId w:val="5"/>
              </w:numPr>
              <w:suppressLineNumbers w:val="0"/>
              <w:snapToGrid w:val="0"/>
              <w:spacing w:before="0" w:beforeAutospacing="0" w:after="0" w:afterAutospacing="0"/>
              <w:ind w:right="0"/>
              <w:contextualSpacing w:val="0"/>
              <w:rPr>
                <w:rFonts w:hint="default"/>
                <w:bCs/>
              </w:rPr>
            </w:pPr>
            <w:r>
              <w:rPr>
                <w:rFonts w:hint="default"/>
                <w:bCs/>
              </w:rPr>
              <w:t>Proposal 1</w:t>
            </w:r>
            <w:r>
              <w:rPr>
                <w:rFonts w:hint="eastAsia"/>
                <w:bCs/>
              </w:rPr>
              <w:t>b</w:t>
            </w:r>
            <w:r>
              <w:rPr>
                <w:rFonts w:hint="default"/>
                <w:bCs/>
              </w:rPr>
              <w:t>: To define enhanced cell reselection requirements for RedCap UE,</w:t>
            </w:r>
          </w:p>
          <w:p>
            <w:pPr>
              <w:pStyle w:val="75"/>
              <w:keepNext w:val="0"/>
              <w:keepLines w:val="0"/>
              <w:widowControl/>
              <w:numPr>
                <w:ilvl w:val="3"/>
                <w:numId w:val="5"/>
              </w:numPr>
              <w:suppressLineNumbers w:val="0"/>
              <w:spacing w:before="0" w:beforeAutospacing="0" w:after="0" w:afterAutospacing="0"/>
              <w:ind w:left="2920" w:right="0" w:hanging="181"/>
              <w:contextualSpacing w:val="0"/>
              <w:rPr>
                <w:rFonts w:hint="default"/>
                <w:bCs/>
              </w:rPr>
            </w:pPr>
            <w:r>
              <w:rPr>
                <w:rFonts w:hint="default"/>
                <w:bCs/>
              </w:rPr>
              <w:t>Re-use the requirements for normal UE except that T</w:t>
            </w:r>
            <w:r>
              <w:rPr>
                <w:rFonts w:hint="default"/>
                <w:bCs/>
                <w:vertAlign w:val="subscript"/>
              </w:rPr>
              <w:t>detect</w:t>
            </w:r>
            <w:r>
              <w:rPr>
                <w:rFonts w:hint="default"/>
                <w:bCs/>
              </w:rPr>
              <w:t xml:space="preserve"> is extended by [2] samples</w:t>
            </w:r>
          </w:p>
          <w:p>
            <w:pPr>
              <w:pStyle w:val="75"/>
              <w:keepNext w:val="0"/>
              <w:keepLines w:val="0"/>
              <w:widowControl/>
              <w:numPr>
                <w:ilvl w:val="3"/>
                <w:numId w:val="5"/>
              </w:numPr>
              <w:suppressLineNumbers w:val="0"/>
              <w:spacing w:before="0" w:beforeAutospacing="0" w:after="120" w:afterAutospacing="0"/>
              <w:ind w:left="2920" w:right="0" w:hanging="181"/>
              <w:contextualSpacing w:val="0"/>
              <w:rPr>
                <w:rFonts w:hint="default"/>
              </w:rPr>
            </w:pPr>
            <w:r>
              <w:rPr>
                <w:rFonts w:hint="default"/>
              </w:rPr>
              <w:t>Same delay requirements for 1Rx and 2Rx UEs.</w:t>
            </w:r>
          </w:p>
          <w:p>
            <w:pPr>
              <w:pStyle w:val="75"/>
              <w:keepNext w:val="0"/>
              <w:keepLines w:val="0"/>
              <w:widowControl/>
              <w:numPr>
                <w:ilvl w:val="2"/>
                <w:numId w:val="5"/>
              </w:numPr>
              <w:suppressLineNumbers w:val="0"/>
              <w:snapToGrid w:val="0"/>
              <w:spacing w:before="0" w:beforeAutospacing="0" w:after="0" w:afterAutospacing="0"/>
              <w:ind w:right="0"/>
              <w:contextualSpacing w:val="0"/>
              <w:rPr>
                <w:rFonts w:hint="default"/>
                <w:bCs/>
              </w:rPr>
            </w:pPr>
            <w:r>
              <w:rPr>
                <w:rFonts w:hint="default"/>
                <w:bCs/>
              </w:rPr>
              <w:t xml:space="preserve">Proposal </w:t>
            </w:r>
            <w:r>
              <w:rPr>
                <w:rFonts w:hint="eastAsia"/>
                <w:bCs/>
              </w:rPr>
              <w:t>1c</w:t>
            </w:r>
            <w:r>
              <w:rPr>
                <w:rFonts w:hint="default"/>
                <w:bCs/>
              </w:rPr>
              <w:t xml:space="preserve">: </w:t>
            </w:r>
          </w:p>
          <w:p>
            <w:pPr>
              <w:pStyle w:val="75"/>
              <w:keepNext w:val="0"/>
              <w:keepLines w:val="0"/>
              <w:widowControl/>
              <w:numPr>
                <w:ilvl w:val="3"/>
                <w:numId w:val="5"/>
              </w:numPr>
              <w:suppressLineNumbers w:val="0"/>
              <w:spacing w:before="0" w:beforeAutospacing="0" w:after="0" w:afterAutospacing="0"/>
              <w:ind w:left="2920" w:right="0" w:hanging="181"/>
              <w:contextualSpacing w:val="0"/>
              <w:rPr>
                <w:rFonts w:hint="default"/>
                <w:bCs/>
              </w:rPr>
            </w:pPr>
            <w:r>
              <w:rPr>
                <w:rFonts w:hint="eastAsia"/>
                <w:bCs/>
              </w:rPr>
              <w:t>F</w:t>
            </w:r>
            <w:r>
              <w:rPr>
                <w:rFonts w:hint="default"/>
                <w:bCs/>
              </w:rPr>
              <w:t>or 2 Rx (e)RedCap NTN UE, RAN4 to reuse the existing enhanced cell reselection measurement requirements</w:t>
            </w:r>
          </w:p>
          <w:p>
            <w:pPr>
              <w:pStyle w:val="75"/>
              <w:keepNext w:val="0"/>
              <w:keepLines w:val="0"/>
              <w:widowControl/>
              <w:numPr>
                <w:ilvl w:val="3"/>
                <w:numId w:val="5"/>
              </w:numPr>
              <w:suppressLineNumbers w:val="0"/>
              <w:spacing w:before="0" w:beforeAutospacing="0" w:after="120" w:afterAutospacing="0"/>
              <w:ind w:left="2920" w:right="0" w:hanging="181"/>
              <w:contextualSpacing w:val="0"/>
              <w:rPr>
                <w:rFonts w:hint="default"/>
                <w:bCs/>
              </w:rPr>
            </w:pPr>
            <w:r>
              <w:rPr>
                <w:rFonts w:hint="default"/>
                <w:bCs/>
              </w:rPr>
              <w:t xml:space="preserve">For 1 Rx (e)RedCap NTN UE, RAN4 to </w:t>
            </w:r>
          </w:p>
          <w:p>
            <w:pPr>
              <w:pStyle w:val="65"/>
              <w:keepNext w:val="0"/>
              <w:keepLines w:val="0"/>
              <w:widowControl/>
              <w:numPr>
                <w:ilvl w:val="0"/>
                <w:numId w:val="6"/>
              </w:numPr>
              <w:suppressLineNumbers w:val="0"/>
              <w:spacing w:before="0" w:beforeAutospacing="0" w:after="0" w:afterAutospacing="0"/>
              <w:ind w:right="0"/>
              <w:rPr>
                <w:rFonts w:hint="default"/>
                <w:bCs/>
                <w:sz w:val="20"/>
                <w:szCs w:val="20"/>
              </w:rPr>
            </w:pPr>
            <w:r>
              <w:rPr>
                <w:rFonts w:hint="eastAsia"/>
                <w:bCs/>
                <w:sz w:val="20"/>
                <w:szCs w:val="20"/>
                <w:lang w:eastAsia="zh-CN"/>
              </w:rPr>
              <w:t xml:space="preserve">  </w:t>
            </w:r>
            <w:r>
              <w:rPr>
                <w:rFonts w:hint="eastAsia"/>
                <w:bCs/>
                <w:sz w:val="20"/>
                <w:szCs w:val="20"/>
              </w:rPr>
              <w:t>O</w:t>
            </w:r>
            <w:r>
              <w:rPr>
                <w:rFonts w:hint="default"/>
                <w:bCs/>
                <w:sz w:val="20"/>
                <w:szCs w:val="20"/>
              </w:rPr>
              <w:t>ption 1:</w:t>
            </w:r>
            <w:r>
              <w:rPr>
                <w:rFonts w:hint="eastAsia"/>
                <w:bCs/>
                <w:sz w:val="20"/>
                <w:szCs w:val="20"/>
              </w:rPr>
              <w:t xml:space="preserve"> </w:t>
            </w:r>
            <w:r>
              <w:rPr>
                <w:rFonts w:hint="default"/>
                <w:bCs/>
                <w:sz w:val="20"/>
                <w:szCs w:val="20"/>
              </w:rPr>
              <w:t>Reuse the existing enhanced cell reselection measurement requirements</w:t>
            </w:r>
          </w:p>
          <w:p>
            <w:pPr>
              <w:pStyle w:val="65"/>
              <w:keepNext w:val="0"/>
              <w:keepLines w:val="0"/>
              <w:widowControl/>
              <w:numPr>
                <w:ilvl w:val="0"/>
                <w:numId w:val="6"/>
              </w:numPr>
              <w:suppressLineNumbers w:val="0"/>
              <w:spacing w:before="0" w:beforeAutospacing="0" w:after="120" w:afterAutospacing="0"/>
              <w:ind w:left="3584" w:right="0"/>
              <w:rPr>
                <w:rFonts w:hint="default"/>
                <w:bCs/>
                <w:sz w:val="20"/>
                <w:szCs w:val="20"/>
              </w:rPr>
            </w:pPr>
            <w:r>
              <w:rPr>
                <w:rFonts w:hint="eastAsia"/>
                <w:bCs/>
                <w:sz w:val="20"/>
                <w:szCs w:val="20"/>
                <w:lang w:eastAsia="zh-CN"/>
              </w:rPr>
              <w:t xml:space="preserve">  </w:t>
            </w:r>
            <w:r>
              <w:rPr>
                <w:rFonts w:hint="eastAsia"/>
                <w:bCs/>
                <w:sz w:val="20"/>
                <w:szCs w:val="20"/>
              </w:rPr>
              <w:t>O</w:t>
            </w:r>
            <w:r>
              <w:rPr>
                <w:rFonts w:hint="default"/>
                <w:bCs/>
                <w:sz w:val="20"/>
                <w:szCs w:val="20"/>
              </w:rPr>
              <w:t>ption 2: Consider increasing measurement samples based on the current cell reselection measurement enhanced requirements. The actual number of samples can be further determined</w:t>
            </w:r>
            <w:r>
              <w:rPr>
                <w:rFonts w:hint="eastAsia"/>
                <w:bCs/>
                <w:sz w:val="20"/>
                <w:szCs w:val="20"/>
              </w:rPr>
              <w:t>.</w:t>
            </w:r>
          </w:p>
          <w:p>
            <w:pPr>
              <w:pStyle w:val="75"/>
              <w:keepNext w:val="0"/>
              <w:keepLines w:val="0"/>
              <w:widowControl/>
              <w:numPr>
                <w:ilvl w:val="2"/>
                <w:numId w:val="5"/>
              </w:numPr>
              <w:suppressLineNumbers w:val="0"/>
              <w:snapToGrid w:val="0"/>
              <w:spacing w:before="0" w:beforeAutospacing="0" w:after="0" w:afterAutospacing="0"/>
              <w:ind w:right="0"/>
              <w:contextualSpacing w:val="0"/>
              <w:rPr>
                <w:rFonts w:hint="default"/>
                <w:bCs/>
              </w:rPr>
            </w:pPr>
            <w:r>
              <w:rPr>
                <w:rFonts w:hint="eastAsia"/>
                <w:bCs/>
              </w:rPr>
              <w:t>P</w:t>
            </w:r>
            <w:r>
              <w:rPr>
                <w:rFonts w:hint="default"/>
                <w:bCs/>
              </w:rPr>
              <w:t xml:space="preserve">roposal </w:t>
            </w:r>
            <w:r>
              <w:rPr>
                <w:rFonts w:hint="eastAsia"/>
                <w:bCs/>
              </w:rPr>
              <w:t>1d</w:t>
            </w:r>
            <w:r>
              <w:rPr>
                <w:rFonts w:hint="default"/>
                <w:bCs/>
              </w:rPr>
              <w:t xml:space="preserve">: For enhanced cell re-selection for (e)RedCap UE with FR1-NTN bands, </w:t>
            </w:r>
          </w:p>
          <w:p>
            <w:pPr>
              <w:pStyle w:val="75"/>
              <w:keepNext w:val="0"/>
              <w:keepLines w:val="0"/>
              <w:widowControl/>
              <w:numPr>
                <w:ilvl w:val="3"/>
                <w:numId w:val="5"/>
              </w:numPr>
              <w:suppressLineNumbers w:val="0"/>
              <w:spacing w:before="0" w:beforeAutospacing="0" w:after="120" w:afterAutospacing="0"/>
              <w:ind w:left="2920" w:right="0" w:hanging="181"/>
              <w:contextualSpacing w:val="0"/>
              <w:rPr>
                <w:rFonts w:hint="default" w:ascii="Times New Roman" w:hAnsi="Times New Roman" w:cs="Times New Roman"/>
                <w:sz w:val="20"/>
                <w:vertAlign w:val="baseline"/>
                <w:lang w:val="en-US" w:eastAsia="zh-CN"/>
              </w:rPr>
            </w:pPr>
            <w:r>
              <w:rPr>
                <w:rFonts w:hint="eastAsia"/>
                <w:bCs/>
                <w:lang w:val="en-GB"/>
              </w:rPr>
              <w:t>F</w:t>
            </w:r>
            <w:r>
              <w:rPr>
                <w:rFonts w:hint="default"/>
                <w:bCs/>
                <w:lang w:val="en-GB"/>
              </w:rPr>
              <w:t>or 2Rx/1Rx, the T</w:t>
            </w:r>
            <w:r>
              <w:rPr>
                <w:rFonts w:hint="default"/>
                <w:bCs/>
                <w:vertAlign w:val="subscript"/>
                <w:lang w:val="en-GB"/>
              </w:rPr>
              <w:t>detect,NR_Intra_enh,</w:t>
            </w:r>
            <w:r>
              <w:rPr>
                <w:rFonts w:hint="default"/>
                <w:bCs/>
                <w:lang w:val="en-GB"/>
              </w:rPr>
              <w:t xml:space="preserve"> T</w:t>
            </w:r>
            <w:r>
              <w:rPr>
                <w:rFonts w:hint="default"/>
                <w:bCs/>
                <w:vertAlign w:val="subscript"/>
                <w:lang w:val="en-GB"/>
              </w:rPr>
              <w:t>measure,NR_Intra_enh</w:t>
            </w:r>
            <w:r>
              <w:rPr>
                <w:rFonts w:hint="default"/>
                <w:bCs/>
                <w:lang w:val="en-GB"/>
              </w:rPr>
              <w:t xml:space="preserve"> and T</w:t>
            </w:r>
            <w:r>
              <w:rPr>
                <w:rFonts w:hint="default"/>
                <w:bCs/>
                <w:vertAlign w:val="subscript"/>
                <w:lang w:val="en-GB"/>
              </w:rPr>
              <w:t>evaluate,NR_Intra_enh</w:t>
            </w:r>
            <w:r>
              <w:rPr>
                <w:rFonts w:hint="default"/>
                <w:bCs/>
                <w:lang w:val="en-GB"/>
              </w:rPr>
              <w:t xml:space="preserve"> are reused the legacy FR1-NTN requirements. In addition, The UE is not required to meet the requirements for 2.56 s DRX cycle length for earth-moving LEO deployment.</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eastAsia="宋体" w:cs="Times New Roman"/>
          <w:i w:val="0"/>
          <w:iCs w:val="0"/>
          <w:sz w:val="20"/>
          <w:szCs w:val="20"/>
          <w:lang w:val="en-US" w:eastAsia="zh-CN" w:bidi="ar"/>
        </w:rPr>
      </w:pPr>
      <w:r>
        <w:rPr>
          <w:rFonts w:hint="eastAsia" w:ascii="Times New Roman" w:hAnsi="Times New Roman" w:cs="Times New Roman"/>
          <w:sz w:val="20"/>
          <w:lang w:val="en-US" w:eastAsia="zh-CN"/>
        </w:rPr>
        <w:t xml:space="preserve">From our understanding, when the NTN capable RedCap UEs supports </w:t>
      </w:r>
      <w:r>
        <w:rPr>
          <w:rFonts w:hint="default" w:ascii="Times New Roman" w:hAnsi="Times New Roman" w:eastAsia="Times New Roman" w:cs="Times New Roman"/>
          <w:i/>
          <w:iCs/>
          <w:sz w:val="20"/>
          <w:szCs w:val="20"/>
          <w:lang w:val="en-US" w:eastAsia="en-US" w:bidi="ar"/>
        </w:rPr>
        <w:t xml:space="preserve">measurementEnhancement-r16 </w:t>
      </w:r>
      <w:r>
        <w:rPr>
          <w:rFonts w:hint="default" w:ascii="Times New Roman" w:hAnsi="Times New Roman" w:eastAsia="Times New Roman" w:cs="Times New Roman"/>
          <w:sz w:val="20"/>
          <w:szCs w:val="20"/>
          <w:lang w:val="en-US" w:eastAsia="en-US" w:bidi="ar"/>
        </w:rPr>
        <w:t xml:space="preserve">or </w:t>
      </w:r>
      <w:r>
        <w:rPr>
          <w:rFonts w:hint="default" w:ascii="Times New Roman" w:hAnsi="Times New Roman" w:eastAsia="Times New Roman" w:cs="Times New Roman"/>
          <w:i/>
          <w:iCs/>
          <w:sz w:val="20"/>
          <w:szCs w:val="20"/>
          <w:lang w:val="en-US" w:eastAsia="en-US" w:bidi="ar"/>
        </w:rPr>
        <w:t>intraNR-MeasurementEnhancement-r16</w:t>
      </w:r>
      <w:r>
        <w:rPr>
          <w:rFonts w:hint="eastAsia" w:ascii="Times New Roman" w:hAnsi="Times New Roman" w:eastAsia="宋体" w:cs="Times New Roman"/>
          <w:i/>
          <w:iCs/>
          <w:sz w:val="20"/>
          <w:szCs w:val="20"/>
          <w:lang w:val="en-US" w:eastAsia="zh-CN" w:bidi="ar"/>
        </w:rPr>
        <w:t xml:space="preserve">, </w:t>
      </w:r>
      <w:r>
        <w:rPr>
          <w:rFonts w:hint="eastAsia" w:ascii="Times New Roman" w:hAnsi="Times New Roman" w:eastAsia="宋体" w:cs="Times New Roman"/>
          <w:i w:val="0"/>
          <w:iCs w:val="0"/>
          <w:sz w:val="20"/>
          <w:szCs w:val="20"/>
          <w:lang w:val="en-US" w:eastAsia="zh-CN" w:bidi="ar"/>
        </w:rPr>
        <w:t>the legacy enhanced cell re-selection requirements could be reused.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eastAsia="宋体" w:cs="Times New Roman"/>
          <w:b/>
          <w:bCs/>
          <w:i w:val="0"/>
          <w:iCs w:val="0"/>
          <w:sz w:val="20"/>
          <w:szCs w:val="20"/>
          <w:lang w:val="en-US" w:eastAsia="zh-CN" w:bidi="ar"/>
        </w:rPr>
      </w:pPr>
      <w:r>
        <w:rPr>
          <w:rFonts w:hint="eastAsia" w:ascii="Times New Roman" w:hAnsi="Times New Roman" w:eastAsia="宋体" w:cs="Times New Roman"/>
          <w:b/>
          <w:bCs/>
          <w:i w:val="0"/>
          <w:iCs w:val="0"/>
          <w:sz w:val="20"/>
          <w:szCs w:val="20"/>
          <w:lang w:val="en-US" w:eastAsia="zh-CN" w:bidi="ar"/>
        </w:rPr>
        <w:t>Proposal 6: For enhanced cell re-selection for (e)RedCap UE with FR1-NTN bands, the T</w:t>
      </w:r>
      <w:r>
        <w:rPr>
          <w:rFonts w:hint="eastAsia" w:ascii="Times New Roman" w:hAnsi="Times New Roman" w:eastAsia="宋体" w:cs="Times New Roman"/>
          <w:b/>
          <w:bCs/>
          <w:i w:val="0"/>
          <w:iCs w:val="0"/>
          <w:sz w:val="20"/>
          <w:szCs w:val="20"/>
          <w:vertAlign w:val="subscript"/>
          <w:lang w:val="en-US" w:eastAsia="zh-CN" w:bidi="ar"/>
        </w:rPr>
        <w:t>detect,NR_Intra_enh</w:t>
      </w:r>
      <w:r>
        <w:rPr>
          <w:rFonts w:hint="eastAsia" w:ascii="Times New Roman" w:hAnsi="Times New Roman" w:eastAsia="宋体" w:cs="Times New Roman"/>
          <w:b/>
          <w:bCs/>
          <w:i w:val="0"/>
          <w:iCs w:val="0"/>
          <w:sz w:val="20"/>
          <w:szCs w:val="20"/>
          <w:lang w:val="en-US" w:eastAsia="zh-CN" w:bidi="ar"/>
        </w:rPr>
        <w:t>, T</w:t>
      </w:r>
      <w:r>
        <w:rPr>
          <w:rFonts w:hint="eastAsia" w:ascii="Times New Roman" w:hAnsi="Times New Roman" w:eastAsia="宋体" w:cs="Times New Roman"/>
          <w:b/>
          <w:bCs/>
          <w:i w:val="0"/>
          <w:iCs w:val="0"/>
          <w:sz w:val="20"/>
          <w:szCs w:val="20"/>
          <w:vertAlign w:val="subscript"/>
          <w:lang w:val="en-US" w:eastAsia="zh-CN" w:bidi="ar"/>
        </w:rPr>
        <w:t>measure,NR_Intra_enh</w:t>
      </w:r>
      <w:r>
        <w:rPr>
          <w:rFonts w:hint="eastAsia" w:ascii="Times New Roman" w:hAnsi="Times New Roman" w:eastAsia="宋体" w:cs="Times New Roman"/>
          <w:b/>
          <w:bCs/>
          <w:i w:val="0"/>
          <w:iCs w:val="0"/>
          <w:sz w:val="20"/>
          <w:szCs w:val="20"/>
          <w:lang w:val="en-US" w:eastAsia="zh-CN" w:bidi="ar"/>
        </w:rPr>
        <w:t xml:space="preserve"> and T</w:t>
      </w:r>
      <w:r>
        <w:rPr>
          <w:rFonts w:hint="eastAsia" w:ascii="Times New Roman" w:hAnsi="Times New Roman" w:eastAsia="宋体" w:cs="Times New Roman"/>
          <w:b/>
          <w:bCs/>
          <w:i w:val="0"/>
          <w:iCs w:val="0"/>
          <w:sz w:val="20"/>
          <w:szCs w:val="20"/>
          <w:vertAlign w:val="subscript"/>
          <w:lang w:val="en-US" w:eastAsia="zh-CN" w:bidi="ar"/>
        </w:rPr>
        <w:t>evaluate,NR_Intra_enh</w:t>
      </w:r>
      <w:r>
        <w:rPr>
          <w:rFonts w:hint="eastAsia" w:ascii="Times New Roman" w:hAnsi="Times New Roman" w:eastAsia="宋体" w:cs="Times New Roman"/>
          <w:b/>
          <w:bCs/>
          <w:i w:val="0"/>
          <w:iCs w:val="0"/>
          <w:sz w:val="20"/>
          <w:szCs w:val="20"/>
          <w:lang w:val="en-US" w:eastAsia="zh-CN" w:bidi="ar"/>
        </w:rPr>
        <w:t xml:space="preserve"> are reused the legacy FR1-NTN requirements for RedCap UEs. In addition, The UE is not required to meet the requirements for 2.56 s DRX cycle length for earth-moving LEO deployment.</w:t>
      </w:r>
    </w:p>
    <w:p>
      <w:pPr>
        <w:pStyle w:val="4"/>
        <w:keepNext/>
        <w:keepLines/>
        <w:pageBreakBefore w:val="0"/>
        <w:widowControl/>
        <w:kinsoku/>
        <w:wordWrap/>
        <w:overflowPunct/>
        <w:topLinePunct w:val="0"/>
        <w:autoSpaceDE/>
        <w:autoSpaceDN/>
        <w:bidi w:val="0"/>
        <w:adjustRightInd/>
        <w:snapToGrid/>
        <w:ind w:left="0" w:firstLine="0"/>
        <w:jc w:val="both"/>
        <w:textAlignment w:val="auto"/>
        <w:rPr>
          <w:rFonts w:hint="eastAsia"/>
          <w:sz w:val="24"/>
          <w:szCs w:val="18"/>
          <w:lang w:val="en-US" w:eastAsia="zh-CN"/>
        </w:rPr>
      </w:pPr>
      <w:r>
        <w:rPr>
          <w:rFonts w:hint="eastAsia"/>
          <w:sz w:val="24"/>
          <w:szCs w:val="18"/>
          <w:lang w:val="en-US" w:eastAsia="ko-KR"/>
        </w:rPr>
        <w:t>Issue 2-1-2: Cell re-selection requirements of inter-RAT E-UTRAN cells with TN carrier for 1Rx/ 2Rx (e)RedCap UE with FR1-NTN</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From our perspective, the cell re-selection measurement requirements in legacy NTN can be reused for 2Rx and 1Rx RedCap UEs. However, RAN4 shall consider one point is the accuracy margin for 1Rx RedCap UE. Compared to 2Rx, 1Rx has lower transmission rate and the accuracy shift  is serious vary time, and RAN4 deems that the margin or threshold for 1Rx shall be higher than 2Rx and this can limit that two problems. Although the measurement requirements are same, the conditions for 1Rx and 2Rx shall be distinguished.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Observation </w:t>
      </w:r>
      <w:r>
        <w:rPr>
          <w:rFonts w:hint="eastAsia" w:cs="Times New Roman"/>
          <w:b/>
          <w:bCs/>
          <w:sz w:val="20"/>
          <w:lang w:val="en-US" w:eastAsia="zh-CN"/>
        </w:rPr>
        <w:t>4</w:t>
      </w:r>
      <w:r>
        <w:rPr>
          <w:rFonts w:hint="eastAsia" w:ascii="Times New Roman" w:hAnsi="Times New Roman" w:cs="Times New Roman"/>
          <w:b/>
          <w:bCs/>
          <w:sz w:val="20"/>
          <w:lang w:val="en-US" w:eastAsia="zh-CN"/>
        </w:rPr>
        <w:t>: Although the measurement requirements are same, the conditions for 1Rx and 2Rx shall be distinguished.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7</w:t>
      </w:r>
      <w:r>
        <w:rPr>
          <w:rFonts w:hint="eastAsia" w:ascii="Times New Roman" w:hAnsi="Times New Roman" w:cs="Times New Roman"/>
          <w:b/>
          <w:bCs/>
          <w:sz w:val="20"/>
          <w:lang w:val="en-US" w:eastAsia="zh-CN"/>
        </w:rPr>
        <w:t>: The cell re-selection inter-frequency and inter-RAT measurement requirements in legacy NTN can be reused for 2Rx and 1Rx RedCap UEs considering TN to NTN and NTN to TN.</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8</w:t>
      </w:r>
      <w:r>
        <w:rPr>
          <w:rFonts w:hint="eastAsia" w:ascii="Times New Roman" w:hAnsi="Times New Roman" w:cs="Times New Roman"/>
          <w:b/>
          <w:bCs/>
          <w:sz w:val="20"/>
          <w:lang w:val="en-US" w:eastAsia="zh-CN"/>
        </w:rPr>
        <w:t>: RAN4 shall reuse the 1dB offset as legacy for 1Rx RedCap UE in NR NTN.</w:t>
      </w:r>
    </w:p>
    <w:p>
      <w:pPr>
        <w:pStyle w:val="4"/>
        <w:keepNext/>
        <w:keepLines/>
        <w:pageBreakBefore w:val="0"/>
        <w:widowControl/>
        <w:kinsoku/>
        <w:wordWrap/>
        <w:overflowPunct/>
        <w:topLinePunct w:val="0"/>
        <w:autoSpaceDE/>
        <w:autoSpaceDN/>
        <w:bidi w:val="0"/>
        <w:adjustRightInd/>
        <w:snapToGrid/>
        <w:ind w:left="0" w:firstLine="0"/>
        <w:jc w:val="both"/>
        <w:textAlignment w:val="auto"/>
        <w:rPr>
          <w:rFonts w:hint="eastAsia"/>
          <w:sz w:val="24"/>
          <w:szCs w:val="18"/>
          <w:lang w:val="en-GB" w:eastAsia="ko-KR"/>
        </w:rPr>
      </w:pPr>
      <w:r>
        <w:rPr>
          <w:rFonts w:hint="eastAsia"/>
          <w:sz w:val="24"/>
          <w:szCs w:val="18"/>
          <w:lang w:val="en-US" w:eastAsia="ko-KR"/>
        </w:rPr>
        <w:t>Issue 2-4-1: L1/L3 measurement accuracy for 1Rx/2Rx (e)RedCap UEs with FR1-NTN</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sz w:val="20"/>
          <w:szCs w:val="20"/>
          <w:lang w:val="en-US"/>
        </w:rPr>
        <w:t xml:space="preserve">In the last </w:t>
      </w:r>
      <w:r>
        <w:rPr>
          <w:sz w:val="20"/>
          <w:szCs w:val="20"/>
          <w:lang w:val="en-US"/>
        </w:rPr>
        <w:t>meeting</w:t>
      </w:r>
      <w:r>
        <w:rPr>
          <w:rFonts w:hint="eastAsia"/>
          <w:sz w:val="20"/>
          <w:szCs w:val="20"/>
          <w:lang w:val="en-US"/>
        </w:rPr>
        <w:t xml:space="preserve">, the </w:t>
      </w:r>
      <w:r>
        <w:rPr>
          <w:sz w:val="20"/>
          <w:szCs w:val="20"/>
          <w:lang w:val="en-US"/>
        </w:rPr>
        <w:t>Way Forward</w:t>
      </w:r>
      <w:r>
        <w:rPr>
          <w:rFonts w:hint="eastAsia"/>
          <w:sz w:val="20"/>
          <w:szCs w:val="20"/>
          <w:lang w:val="en-US"/>
        </w:rPr>
        <w:t xml:space="preserve"> of </w:t>
      </w:r>
      <w:r>
        <w:rPr>
          <w:sz w:val="20"/>
          <w:szCs w:val="20"/>
          <w:lang w:val="en-US"/>
        </w:rPr>
        <w:t>L1/L3 Measurement accuracy relaxation for 1Rx/2Rx (e)RedCap UEs with FR1-NTN</w:t>
      </w:r>
      <w:r>
        <w:rPr>
          <w:rFonts w:hint="eastAsia"/>
          <w:sz w:val="20"/>
          <w:szCs w:val="20"/>
          <w:lang w:val="en-US"/>
        </w:rPr>
        <w:t xml:space="preserve"> is copied as follows [1]</w:t>
      </w:r>
      <w:r>
        <w:rPr>
          <w:rFonts w:hint="eastAsia" w:ascii="Times New Roman" w:hAnsi="Times New Roman" w:cs="Times New Roman"/>
          <w:sz w:val="20"/>
          <w:lang w:val="en-US"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240" w:beforeAutospacing="0" w:afterAutospacing="0"/>
              <w:ind w:left="0" w:right="0"/>
              <w:rPr>
                <w:rFonts w:hint="default"/>
                <w:b/>
                <w:sz w:val="20"/>
                <w:szCs w:val="20"/>
                <w:lang w:eastAsia="zh-CN"/>
              </w:rPr>
            </w:pPr>
            <w:r>
              <w:rPr>
                <w:rFonts w:hint="default"/>
                <w:b/>
                <w:sz w:val="20"/>
                <w:szCs w:val="20"/>
              </w:rPr>
              <w:t>&lt;Way Forward&gt;</w:t>
            </w:r>
            <w:r>
              <w:rPr>
                <w:rFonts w:hint="eastAsia"/>
                <w:b/>
                <w:sz w:val="20"/>
                <w:szCs w:val="20"/>
                <w:lang w:eastAsia="zh-CN"/>
              </w:rPr>
              <w:t>:</w:t>
            </w:r>
          </w:p>
          <w:p>
            <w:pPr>
              <w:keepNext w:val="0"/>
              <w:keepLines w:val="0"/>
              <w:widowControl/>
              <w:numPr>
                <w:ilvl w:val="1"/>
                <w:numId w:val="5"/>
              </w:numPr>
              <w:suppressLineNumbers w:val="0"/>
              <w:spacing w:before="0" w:beforeAutospacing="0" w:after="120" w:afterAutospacing="0"/>
              <w:ind w:right="0"/>
              <w:rPr>
                <w:rFonts w:hint="default"/>
                <w:bCs/>
                <w:iCs/>
                <w:sz w:val="20"/>
                <w:szCs w:val="20"/>
              </w:rPr>
            </w:pPr>
            <w:r>
              <w:rPr>
                <w:rFonts w:hint="eastAsia"/>
                <w:bCs/>
                <w:iCs/>
                <w:sz w:val="20"/>
                <w:szCs w:val="20"/>
              </w:rPr>
              <w:t>F</w:t>
            </w:r>
            <w:r>
              <w:rPr>
                <w:rFonts w:hint="default"/>
                <w:bCs/>
                <w:iCs/>
                <w:sz w:val="20"/>
                <w:szCs w:val="20"/>
              </w:rPr>
              <w:t>or 2Rx</w:t>
            </w:r>
            <w:r>
              <w:rPr>
                <w:rFonts w:hint="eastAsia"/>
                <w:bCs/>
                <w:iCs/>
                <w:sz w:val="20"/>
                <w:szCs w:val="20"/>
              </w:rPr>
              <w:t xml:space="preserve"> </w:t>
            </w:r>
            <w:r>
              <w:rPr>
                <w:rFonts w:hint="default"/>
                <w:bCs/>
                <w:iCs/>
                <w:sz w:val="20"/>
                <w:szCs w:val="20"/>
              </w:rPr>
              <w:t xml:space="preserve">(e)RedCap UEs with FR1-NTN bands, </w:t>
            </w:r>
          </w:p>
          <w:p>
            <w:pPr>
              <w:keepNext w:val="0"/>
              <w:keepLines w:val="0"/>
              <w:widowControl/>
              <w:numPr>
                <w:ilvl w:val="2"/>
                <w:numId w:val="5"/>
              </w:numPr>
              <w:suppressLineNumbers w:val="0"/>
              <w:spacing w:before="0" w:beforeAutospacing="0" w:after="120" w:afterAutospacing="0"/>
              <w:ind w:right="0"/>
              <w:rPr>
                <w:rFonts w:hint="default"/>
                <w:bCs/>
                <w:iCs/>
                <w:sz w:val="20"/>
                <w:szCs w:val="20"/>
              </w:rPr>
            </w:pPr>
            <w:r>
              <w:rPr>
                <w:rFonts w:hint="default"/>
                <w:bCs/>
                <w:iCs/>
                <w:sz w:val="20"/>
                <w:szCs w:val="20"/>
              </w:rPr>
              <w:t>Proposal 1:</w:t>
            </w:r>
            <w:r>
              <w:rPr>
                <w:rFonts w:hint="eastAsia"/>
                <w:bCs/>
                <w:iCs/>
                <w:sz w:val="20"/>
                <w:szCs w:val="20"/>
              </w:rPr>
              <w:t xml:space="preserve"> </w:t>
            </w:r>
            <w:r>
              <w:rPr>
                <w:rFonts w:hint="default"/>
                <w:bCs/>
                <w:iCs/>
                <w:sz w:val="20"/>
                <w:szCs w:val="20"/>
              </w:rPr>
              <w:t>RAN4 to reuse the measurement accuracy requirements for normal UEs</w:t>
            </w:r>
            <w:r>
              <w:rPr>
                <w:rFonts w:hint="eastAsia"/>
                <w:bCs/>
                <w:iCs/>
                <w:sz w:val="20"/>
                <w:szCs w:val="20"/>
              </w:rPr>
              <w:t xml:space="preserve"> </w:t>
            </w:r>
            <w:r>
              <w:rPr>
                <w:rFonts w:hint="default"/>
                <w:bCs/>
                <w:iCs/>
                <w:sz w:val="20"/>
                <w:szCs w:val="20"/>
              </w:rPr>
              <w:t>defined in NTN</w:t>
            </w:r>
            <w:r>
              <w:rPr>
                <w:rFonts w:hint="eastAsia"/>
                <w:bCs/>
                <w:iCs/>
                <w:sz w:val="20"/>
                <w:szCs w:val="20"/>
              </w:rPr>
              <w:t>.</w:t>
            </w:r>
          </w:p>
          <w:p>
            <w:pPr>
              <w:keepNext w:val="0"/>
              <w:keepLines w:val="0"/>
              <w:widowControl/>
              <w:numPr>
                <w:ilvl w:val="1"/>
                <w:numId w:val="5"/>
              </w:numPr>
              <w:suppressLineNumbers w:val="0"/>
              <w:spacing w:before="0" w:beforeAutospacing="0" w:after="120" w:afterAutospacing="0"/>
              <w:ind w:right="0"/>
              <w:rPr>
                <w:rFonts w:hint="default"/>
                <w:bCs/>
                <w:iCs/>
                <w:sz w:val="20"/>
                <w:szCs w:val="20"/>
              </w:rPr>
            </w:pPr>
            <w:r>
              <w:rPr>
                <w:rFonts w:hint="eastAsia"/>
                <w:bCs/>
                <w:iCs/>
                <w:sz w:val="20"/>
                <w:szCs w:val="20"/>
              </w:rPr>
              <w:t>For 1</w:t>
            </w:r>
            <w:r>
              <w:rPr>
                <w:rFonts w:hint="default"/>
                <w:bCs/>
                <w:iCs/>
                <w:sz w:val="20"/>
                <w:szCs w:val="20"/>
              </w:rPr>
              <w:t>Rx</w:t>
            </w:r>
            <w:r>
              <w:rPr>
                <w:rFonts w:hint="eastAsia"/>
                <w:bCs/>
                <w:iCs/>
                <w:sz w:val="20"/>
                <w:szCs w:val="20"/>
              </w:rPr>
              <w:t xml:space="preserve"> </w:t>
            </w:r>
            <w:r>
              <w:rPr>
                <w:rFonts w:hint="default"/>
                <w:bCs/>
                <w:iCs/>
                <w:sz w:val="20"/>
                <w:szCs w:val="20"/>
              </w:rPr>
              <w:t>(e)RedCap UEs with FR1-NTN bands</w:t>
            </w:r>
            <w:r>
              <w:rPr>
                <w:rFonts w:hint="eastAsia"/>
                <w:bCs/>
                <w:iCs/>
                <w:sz w:val="20"/>
                <w:szCs w:val="20"/>
              </w:rPr>
              <w:t xml:space="preserve">, </w:t>
            </w:r>
          </w:p>
          <w:p>
            <w:pPr>
              <w:keepNext w:val="0"/>
              <w:keepLines w:val="0"/>
              <w:widowControl/>
              <w:numPr>
                <w:ilvl w:val="2"/>
                <w:numId w:val="5"/>
              </w:numPr>
              <w:suppressLineNumbers w:val="0"/>
              <w:spacing w:before="0" w:beforeAutospacing="0" w:after="120" w:afterAutospacing="0"/>
              <w:ind w:right="0"/>
              <w:rPr>
                <w:rFonts w:hint="default"/>
                <w:bCs/>
                <w:iCs/>
                <w:sz w:val="20"/>
                <w:szCs w:val="20"/>
              </w:rPr>
            </w:pPr>
            <w:r>
              <w:rPr>
                <w:rFonts w:hint="default"/>
                <w:bCs/>
                <w:iCs/>
                <w:sz w:val="20"/>
                <w:szCs w:val="20"/>
              </w:rPr>
              <w:t>Proposal 1:</w:t>
            </w:r>
            <w:r>
              <w:rPr>
                <w:rFonts w:hint="eastAsia"/>
                <w:bCs/>
                <w:iCs/>
                <w:sz w:val="20"/>
                <w:szCs w:val="20"/>
              </w:rPr>
              <w:t xml:space="preserve"> RAN4</w:t>
            </w:r>
            <w:r>
              <w:rPr>
                <w:rFonts w:hint="default"/>
                <w:bCs/>
                <w:iCs/>
                <w:sz w:val="20"/>
                <w:szCs w:val="20"/>
              </w:rPr>
              <w:t xml:space="preserve"> to relax the </w:t>
            </w:r>
            <w:r>
              <w:rPr>
                <w:rFonts w:hint="eastAsia"/>
                <w:bCs/>
                <w:iCs/>
                <w:sz w:val="20"/>
                <w:szCs w:val="20"/>
              </w:rPr>
              <w:t xml:space="preserve">L1/L3 </w:t>
            </w:r>
            <w:r>
              <w:rPr>
                <w:rFonts w:hint="default"/>
                <w:bCs/>
                <w:iCs/>
                <w:sz w:val="20"/>
                <w:szCs w:val="20"/>
              </w:rPr>
              <w:t>measurement accuracy for SS-RSRP, SS-RSRQ, SS-SINR and L1-RSRP compared to those defined for 2Rx (e)RedCap UEs.</w:t>
            </w:r>
          </w:p>
          <w:p>
            <w:pPr>
              <w:keepNext w:val="0"/>
              <w:keepLines w:val="0"/>
              <w:widowControl/>
              <w:numPr>
                <w:ilvl w:val="3"/>
                <w:numId w:val="5"/>
              </w:numPr>
              <w:suppressLineNumbers w:val="0"/>
              <w:spacing w:before="0" w:beforeAutospacing="0" w:after="120" w:afterAutospacing="0"/>
              <w:ind w:left="3096" w:right="0"/>
              <w:rPr>
                <w:rFonts w:hint="default"/>
                <w:bCs/>
                <w:iCs/>
                <w:sz w:val="20"/>
                <w:szCs w:val="20"/>
              </w:rPr>
            </w:pPr>
            <w:r>
              <w:rPr>
                <w:rFonts w:hint="eastAsia"/>
                <w:bCs/>
                <w:iCs/>
                <w:sz w:val="20"/>
                <w:szCs w:val="20"/>
              </w:rPr>
              <w:t>The same</w:t>
            </w:r>
            <w:r>
              <w:rPr>
                <w:rFonts w:hint="default"/>
                <w:bCs/>
                <w:iCs/>
                <w:sz w:val="20"/>
                <w:szCs w:val="20"/>
              </w:rPr>
              <w:t xml:space="preserve"> relaxation</w:t>
            </w:r>
            <w:r>
              <w:rPr>
                <w:rFonts w:hint="eastAsia"/>
                <w:bCs/>
                <w:iCs/>
                <w:sz w:val="20"/>
                <w:szCs w:val="20"/>
              </w:rPr>
              <w:t xml:space="preserve"> defined in TN </w:t>
            </w:r>
            <w:r>
              <w:rPr>
                <w:rFonts w:hint="default"/>
                <w:bCs/>
                <w:iCs/>
                <w:sz w:val="20"/>
                <w:szCs w:val="20"/>
              </w:rPr>
              <w:t>for 1Rx</w:t>
            </w:r>
            <w:r>
              <w:rPr>
                <w:rFonts w:hint="eastAsia"/>
                <w:bCs/>
                <w:iCs/>
                <w:sz w:val="20"/>
                <w:szCs w:val="20"/>
              </w:rPr>
              <w:t xml:space="preserve"> </w:t>
            </w:r>
            <w:r>
              <w:rPr>
                <w:rFonts w:hint="default"/>
                <w:bCs/>
                <w:iCs/>
                <w:sz w:val="20"/>
                <w:szCs w:val="20"/>
              </w:rPr>
              <w:t>(e)RedCap UEs</w:t>
            </w:r>
            <w:r>
              <w:rPr>
                <w:rFonts w:hint="eastAsia"/>
                <w:bCs/>
                <w:iCs/>
                <w:sz w:val="20"/>
                <w:szCs w:val="20"/>
              </w:rPr>
              <w:t xml:space="preserve"> can be reused.</w:t>
            </w:r>
          </w:p>
          <w:p>
            <w:pPr>
              <w:keepNext w:val="0"/>
              <w:keepLines w:val="0"/>
              <w:widowControl/>
              <w:numPr>
                <w:ilvl w:val="0"/>
                <w:numId w:val="9"/>
              </w:numPr>
              <w:suppressLineNumbers w:val="0"/>
              <w:spacing w:before="0" w:beforeAutospacing="0" w:after="120" w:afterAutospacing="0"/>
              <w:ind w:right="0"/>
              <w:rPr>
                <w:rFonts w:hint="default"/>
                <w:bCs/>
                <w:iCs/>
                <w:sz w:val="20"/>
                <w:szCs w:val="20"/>
              </w:rPr>
            </w:pPr>
            <w:r>
              <w:rPr>
                <w:rFonts w:hint="default"/>
                <w:bCs/>
                <w:iCs/>
                <w:sz w:val="20"/>
                <w:szCs w:val="20"/>
                <w:lang w:val="en-GB"/>
              </w:rPr>
              <w:t>SS-RSRP, SS-RSRQ, SS-SINR</w:t>
            </w:r>
            <w:r>
              <w:rPr>
                <w:rFonts w:hint="eastAsia"/>
                <w:bCs/>
                <w:iCs/>
                <w:sz w:val="20"/>
                <w:szCs w:val="20"/>
                <w:lang w:val="en-GB"/>
              </w:rPr>
              <w:t xml:space="preserve">: </w:t>
            </w:r>
            <w:r>
              <w:rPr>
                <w:rFonts w:hint="default"/>
                <w:bCs/>
                <w:iCs/>
                <w:sz w:val="20"/>
                <w:szCs w:val="20"/>
                <w:lang w:val="en-GB"/>
              </w:rPr>
              <w:t>relax by 1dB</w:t>
            </w:r>
            <w:r>
              <w:rPr>
                <w:rFonts w:hint="eastAsia"/>
                <w:bCs/>
                <w:iCs/>
                <w:sz w:val="20"/>
                <w:szCs w:val="20"/>
                <w:lang w:val="en-GB"/>
              </w:rPr>
              <w:t>.</w:t>
            </w:r>
          </w:p>
          <w:p>
            <w:pPr>
              <w:keepNext w:val="0"/>
              <w:keepLines w:val="0"/>
              <w:widowControl/>
              <w:numPr>
                <w:ilvl w:val="0"/>
                <w:numId w:val="9"/>
              </w:numPr>
              <w:suppressLineNumbers w:val="0"/>
              <w:spacing w:before="0" w:beforeAutospacing="0" w:after="120" w:afterAutospacing="0"/>
              <w:ind w:right="0"/>
              <w:rPr>
                <w:rFonts w:hint="default" w:ascii="Times New Roman" w:hAnsi="Times New Roman" w:cs="Times New Roman"/>
                <w:sz w:val="20"/>
                <w:szCs w:val="20"/>
                <w:vertAlign w:val="baseline"/>
                <w:lang w:val="en-US" w:eastAsia="zh-CN"/>
              </w:rPr>
            </w:pPr>
            <w:r>
              <w:rPr>
                <w:rFonts w:hint="default"/>
                <w:bCs/>
                <w:iCs/>
                <w:sz w:val="20"/>
                <w:szCs w:val="20"/>
                <w:lang w:val="en-GB"/>
              </w:rPr>
              <w:t>L1-RSRP</w:t>
            </w:r>
            <w:r>
              <w:rPr>
                <w:rFonts w:hint="eastAsia"/>
                <w:bCs/>
                <w:iCs/>
                <w:sz w:val="20"/>
                <w:szCs w:val="20"/>
                <w:lang w:val="en-GB"/>
              </w:rPr>
              <w:t>:</w:t>
            </w:r>
            <w:r>
              <w:rPr>
                <w:rFonts w:hint="default"/>
                <w:bCs/>
                <w:iCs/>
                <w:sz w:val="20"/>
                <w:szCs w:val="20"/>
                <w:lang w:val="en-GB"/>
              </w:rPr>
              <w:t xml:space="preserve"> relax by 3dB.</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The concrete L1/L3 measurement accuracy has been defined in clause 10.1A and 10.2A in [2] for RedCap UE in TN scenario. From our perspective, the legacy accuracy requirements shall be used for 2Rx RedCap UEs. For 1Rx RedCap UEs in TN network, 1dB margin on SS-RSRP/SS-RSRQ/SS-SINR accuracy requirements was added for L3 intra-frequency meausrement and inter-frequency measurement in FR1, and 3dB margin on L1-RSRP accuracy requirements was added for SSB based and CSI-RS based L1 measurement in FR1.</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For legacy NTN, we find that all of the values of accuracy requirements are the same as legacy. </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Consequently, for 2Rx RedCap UEs in NTN scenario, RAN4 shall reuse the legacy NTN accuracy requirements. For 1Rx RedCap UEs, RAN4 shall consider the same margin values as TN for 1Rx RedCap UEs.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9: </w:t>
      </w:r>
    </w:p>
    <w:p>
      <w:pPr>
        <w:numPr>
          <w:ilvl w:val="1"/>
          <w:numId w:val="5"/>
        </w:numPr>
        <w:spacing w:after="120"/>
        <w:rPr>
          <w:b/>
          <w:bCs/>
          <w:iCs/>
        </w:rPr>
      </w:pPr>
      <w:r>
        <w:rPr>
          <w:rFonts w:hint="eastAsia"/>
          <w:b/>
          <w:bCs/>
          <w:iCs/>
        </w:rPr>
        <w:t>F</w:t>
      </w:r>
      <w:r>
        <w:rPr>
          <w:b/>
          <w:bCs/>
          <w:iCs/>
        </w:rPr>
        <w:t>or 2Rx</w:t>
      </w:r>
      <w:r>
        <w:rPr>
          <w:rFonts w:hint="eastAsia"/>
          <w:b/>
          <w:bCs/>
          <w:iCs/>
        </w:rPr>
        <w:t xml:space="preserve"> </w:t>
      </w:r>
      <w:r>
        <w:rPr>
          <w:b/>
          <w:bCs/>
          <w:iCs/>
        </w:rPr>
        <w:t xml:space="preserve">(e)RedCap UEs with FR1-NTN bands, </w:t>
      </w:r>
    </w:p>
    <w:p>
      <w:pPr>
        <w:numPr>
          <w:ilvl w:val="2"/>
          <w:numId w:val="5"/>
        </w:numPr>
        <w:spacing w:after="120"/>
        <w:rPr>
          <w:b/>
          <w:bCs/>
          <w:iCs/>
        </w:rPr>
      </w:pPr>
      <w:r>
        <w:rPr>
          <w:b/>
          <w:bCs/>
          <w:iCs/>
        </w:rPr>
        <w:t>RAN4 to reuse the measurement accuracy requirements for normal UEs</w:t>
      </w:r>
      <w:r>
        <w:rPr>
          <w:rFonts w:hint="eastAsia"/>
          <w:b/>
          <w:bCs/>
          <w:iCs/>
        </w:rPr>
        <w:t xml:space="preserve"> </w:t>
      </w:r>
      <w:r>
        <w:rPr>
          <w:b/>
          <w:bCs/>
          <w:iCs/>
        </w:rPr>
        <w:t>defined in NTN</w:t>
      </w:r>
      <w:r>
        <w:rPr>
          <w:rFonts w:hint="eastAsia"/>
          <w:b/>
          <w:bCs/>
          <w:iCs/>
        </w:rPr>
        <w:t>.</w:t>
      </w:r>
    </w:p>
    <w:p>
      <w:pPr>
        <w:numPr>
          <w:ilvl w:val="1"/>
          <w:numId w:val="5"/>
        </w:numPr>
        <w:spacing w:after="120"/>
        <w:rPr>
          <w:b/>
          <w:bCs/>
          <w:iCs/>
        </w:rPr>
      </w:pPr>
      <w:r>
        <w:rPr>
          <w:rFonts w:hint="eastAsia"/>
          <w:b/>
          <w:bCs/>
          <w:iCs/>
        </w:rPr>
        <w:t>For 1</w:t>
      </w:r>
      <w:r>
        <w:rPr>
          <w:b/>
          <w:bCs/>
          <w:iCs/>
        </w:rPr>
        <w:t>Rx</w:t>
      </w:r>
      <w:r>
        <w:rPr>
          <w:rFonts w:hint="eastAsia"/>
          <w:b/>
          <w:bCs/>
          <w:iCs/>
        </w:rPr>
        <w:t xml:space="preserve"> </w:t>
      </w:r>
      <w:r>
        <w:rPr>
          <w:b/>
          <w:bCs/>
          <w:iCs/>
        </w:rPr>
        <w:t>(e)RedCap UEs with FR1-NTN bands</w:t>
      </w:r>
      <w:r>
        <w:rPr>
          <w:rFonts w:hint="eastAsia"/>
          <w:b/>
          <w:bCs/>
          <w:iCs/>
        </w:rPr>
        <w:t xml:space="preserve">, </w:t>
      </w:r>
    </w:p>
    <w:p>
      <w:pPr>
        <w:numPr>
          <w:ilvl w:val="2"/>
          <w:numId w:val="5"/>
        </w:numPr>
        <w:spacing w:after="120"/>
        <w:rPr>
          <w:b/>
          <w:bCs/>
          <w:iCs/>
        </w:rPr>
      </w:pPr>
      <w:r>
        <w:rPr>
          <w:rFonts w:hint="eastAsia"/>
          <w:b/>
          <w:bCs/>
          <w:iCs/>
        </w:rPr>
        <w:t>RAN4</w:t>
      </w:r>
      <w:r>
        <w:rPr>
          <w:b/>
          <w:bCs/>
          <w:iCs/>
        </w:rPr>
        <w:t xml:space="preserve"> to relax the </w:t>
      </w:r>
      <w:r>
        <w:rPr>
          <w:rFonts w:hint="eastAsia"/>
          <w:b/>
          <w:bCs/>
          <w:iCs/>
        </w:rPr>
        <w:t xml:space="preserve">L1/L3 </w:t>
      </w:r>
      <w:r>
        <w:rPr>
          <w:b/>
          <w:bCs/>
          <w:iCs/>
        </w:rPr>
        <w:t>measurement accuracy for SS-RSRP, SS-RSRQ, SS-SINR and L1-RSRP compared to those defined for 2Rx (e)RedCap UEs.</w:t>
      </w:r>
    </w:p>
    <w:p>
      <w:pPr>
        <w:numPr>
          <w:ilvl w:val="3"/>
          <w:numId w:val="5"/>
        </w:numPr>
        <w:spacing w:after="120"/>
        <w:ind w:left="3096"/>
        <w:rPr>
          <w:b/>
          <w:bCs/>
          <w:iCs/>
        </w:rPr>
      </w:pPr>
      <w:r>
        <w:rPr>
          <w:rFonts w:hint="eastAsia"/>
          <w:b/>
          <w:bCs/>
          <w:iCs/>
        </w:rPr>
        <w:t>The same</w:t>
      </w:r>
      <w:r>
        <w:rPr>
          <w:b/>
          <w:bCs/>
          <w:iCs/>
        </w:rPr>
        <w:t xml:space="preserve"> relaxation</w:t>
      </w:r>
      <w:r>
        <w:rPr>
          <w:rFonts w:hint="eastAsia"/>
          <w:b/>
          <w:bCs/>
          <w:iCs/>
        </w:rPr>
        <w:t xml:space="preserve"> defined in TN </w:t>
      </w:r>
      <w:r>
        <w:rPr>
          <w:b/>
          <w:bCs/>
          <w:iCs/>
        </w:rPr>
        <w:t>for 1Rx</w:t>
      </w:r>
      <w:r>
        <w:rPr>
          <w:rFonts w:hint="eastAsia"/>
          <w:b/>
          <w:bCs/>
          <w:iCs/>
        </w:rPr>
        <w:t xml:space="preserve"> </w:t>
      </w:r>
      <w:r>
        <w:rPr>
          <w:b/>
          <w:bCs/>
          <w:iCs/>
        </w:rPr>
        <w:t>(e)RedCap UEs</w:t>
      </w:r>
      <w:r>
        <w:rPr>
          <w:rFonts w:hint="eastAsia"/>
          <w:b/>
          <w:bCs/>
          <w:iCs/>
        </w:rPr>
        <w:t xml:space="preserve"> can be reused.</w:t>
      </w:r>
    </w:p>
    <w:p>
      <w:pPr>
        <w:numPr>
          <w:ilvl w:val="0"/>
          <w:numId w:val="9"/>
        </w:numPr>
        <w:spacing w:after="120"/>
        <w:rPr>
          <w:b/>
          <w:bCs/>
          <w:iCs/>
        </w:rPr>
      </w:pPr>
      <w:r>
        <w:rPr>
          <w:b/>
          <w:bCs/>
          <w:iCs/>
          <w:lang w:val="en-GB"/>
        </w:rPr>
        <w:t>SS-RSRP, SS-RSRQ, SS-SINR</w:t>
      </w:r>
      <w:r>
        <w:rPr>
          <w:rFonts w:hint="eastAsia"/>
          <w:b/>
          <w:bCs/>
          <w:iCs/>
          <w:lang w:val="en-GB"/>
        </w:rPr>
        <w:t xml:space="preserve">: </w:t>
      </w:r>
      <w:r>
        <w:rPr>
          <w:b/>
          <w:bCs/>
          <w:iCs/>
          <w:lang w:val="en-GB"/>
        </w:rPr>
        <w:t>relax</w:t>
      </w:r>
      <w:r>
        <w:rPr>
          <w:rFonts w:hint="eastAsia" w:eastAsia="宋体"/>
          <w:b/>
          <w:bCs/>
          <w:iCs/>
          <w:lang w:val="en-US" w:eastAsia="zh-CN"/>
        </w:rPr>
        <w:t>ed</w:t>
      </w:r>
      <w:r>
        <w:rPr>
          <w:b/>
          <w:bCs/>
          <w:iCs/>
          <w:lang w:val="en-GB"/>
        </w:rPr>
        <w:t xml:space="preserve"> by 1dB</w:t>
      </w:r>
      <w:r>
        <w:rPr>
          <w:rFonts w:hint="eastAsia"/>
          <w:b/>
          <w:bCs/>
          <w:iCs/>
          <w:lang w:val="en-GB"/>
        </w:rPr>
        <w:t>.</w:t>
      </w:r>
    </w:p>
    <w:p>
      <w:pPr>
        <w:numPr>
          <w:ilvl w:val="0"/>
          <w:numId w:val="9"/>
        </w:numPr>
        <w:spacing w:after="120"/>
        <w:rPr>
          <w:rFonts w:hint="default"/>
          <w:b/>
          <w:bCs/>
          <w:iCs/>
          <w:lang w:val="en-US" w:eastAsia="zh-CN"/>
        </w:rPr>
      </w:pPr>
      <w:r>
        <w:rPr>
          <w:b/>
          <w:bCs/>
          <w:iCs/>
          <w:lang w:val="en-GB"/>
        </w:rPr>
        <w:t>L1-RSRP</w:t>
      </w:r>
      <w:r>
        <w:rPr>
          <w:rFonts w:hint="eastAsia"/>
          <w:b/>
          <w:bCs/>
          <w:iCs/>
          <w:lang w:val="en-GB"/>
        </w:rPr>
        <w:t>:</w:t>
      </w:r>
      <w:r>
        <w:rPr>
          <w:b/>
          <w:bCs/>
          <w:iCs/>
          <w:lang w:val="en-GB"/>
        </w:rPr>
        <w:t xml:space="preserve"> relax</w:t>
      </w:r>
      <w:r>
        <w:rPr>
          <w:rFonts w:hint="eastAsia" w:eastAsia="宋体"/>
          <w:b/>
          <w:bCs/>
          <w:iCs/>
          <w:lang w:val="en-US" w:eastAsia="zh-CN"/>
        </w:rPr>
        <w:t>ed</w:t>
      </w:r>
      <w:r>
        <w:rPr>
          <w:b/>
          <w:bCs/>
          <w:iCs/>
          <w:lang w:val="en-GB"/>
        </w:rPr>
        <w:t xml:space="preserve"> by 3dB.</w:t>
      </w:r>
    </w:p>
    <w:p>
      <w:pPr>
        <w:pStyle w:val="81"/>
        <w:numPr>
          <w:ilvl w:val="1"/>
          <w:numId w:val="0"/>
        </w:numPr>
        <w:rPr>
          <w:rFonts w:hint="default"/>
          <w:lang w:val="en-US" w:eastAsia="zh-CN"/>
        </w:rPr>
      </w:pPr>
      <w:r>
        <w:rPr>
          <w:rFonts w:hint="eastAsia"/>
          <w:lang w:eastAsia="zh-CN"/>
        </w:rPr>
        <w:t>2.</w:t>
      </w:r>
      <w:r>
        <w:rPr>
          <w:rFonts w:hint="eastAsia"/>
          <w:lang w:val="en-US" w:eastAsia="zh-CN"/>
        </w:rPr>
        <w:t>3 The impact of HD-FDD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Compared to FD-FDD UE, 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We can see the handover requirements as below:</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keepNext w:val="0"/>
              <w:keepLines w:val="0"/>
              <w:widowControl/>
              <w:suppressLineNumbers w:val="0"/>
              <w:spacing w:before="156" w:beforeLines="50" w:beforeAutospacing="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Handover:</w:t>
            </w:r>
          </w:p>
          <w:p>
            <w:pPr>
              <w:keepNext w:val="0"/>
              <w:keepLines w:val="0"/>
              <w:widowControl/>
              <w:suppressLineNumbers w:val="0"/>
              <w:spacing w:before="156" w:beforeLines="50" w:beforeAutospacing="0" w:afterAutospacing="0"/>
              <w:ind w:left="0" w:right="0"/>
              <w:rPr>
                <w:rFonts w:hint="default" w:ascii="Times New Roman" w:hAnsi="Times New Roman" w:cs="Times New Roman"/>
                <w:sz w:val="20"/>
                <w:szCs w:val="20"/>
                <w:lang w:val="en-GB"/>
              </w:rPr>
            </w:pPr>
            <w:r>
              <w:rPr>
                <w:rFonts w:hint="default" w:ascii="Times New Roman" w:hAnsi="Times New Roman" w:cs="Times New Roman"/>
                <w:sz w:val="20"/>
                <w:szCs w:val="20"/>
                <w:lang w:val="en-GB"/>
              </w:rPr>
              <w:t>Legacy RedCap HD-UE：</w:t>
            </w:r>
          </w:p>
          <w:p>
            <w:pPr>
              <w:keepNext w:val="0"/>
              <w:keepLines w:val="0"/>
              <w:widowControl/>
              <w:suppressLineNumbers w:val="0"/>
              <w:spacing w:before="0" w:beforeAutospacing="0" w:afterAutospacing="0"/>
              <w:ind w:left="0" w:right="0"/>
              <w:rPr>
                <w:rFonts w:hint="default" w:ascii="Times New Roman" w:hAnsi="Times New Roman" w:cs="Times New Roman"/>
                <w:sz w:val="20"/>
                <w:szCs w:val="20"/>
              </w:rPr>
            </w:pPr>
            <w:r>
              <w:rPr>
                <w:rFonts w:hint="default" w:ascii="Times New Roman" w:hAnsi="Times New Roman" w:cs="Times New Roman"/>
                <w:sz w:val="20"/>
                <w:szCs w:val="20"/>
              </w:rPr>
              <w:t xml:space="preserve">For RedCap UE with HD-FDD, the handover requirements are met provided that </w:t>
            </w:r>
          </w:p>
          <w:p>
            <w:pPr>
              <w:pStyle w:val="54"/>
              <w:keepNext w:val="0"/>
              <w:keepLines w:val="0"/>
              <w:widowControl/>
              <w:suppressLineNumbers w:val="0"/>
              <w:spacing w:before="0" w:beforeAutospacing="0" w:afterAutospacing="0"/>
              <w:ind w:right="0"/>
              <w:rPr>
                <w:rFonts w:hint="default"/>
                <w:sz w:val="20"/>
                <w:szCs w:val="20"/>
              </w:rPr>
            </w:pPr>
            <w:r>
              <w:rPr>
                <w:rFonts w:hint="default"/>
                <w:sz w:val="20"/>
                <w:szCs w:val="20"/>
                <w:lang w:eastAsia="ko-KR"/>
              </w:rPr>
              <w:t>-</w:t>
            </w:r>
            <w:r>
              <w:rPr>
                <w:rFonts w:hint="default"/>
                <w:sz w:val="20"/>
                <w:szCs w:val="20"/>
                <w:lang w:eastAsia="ko-KR"/>
              </w:rPr>
              <w:tab/>
            </w:r>
            <w:r>
              <w:rPr>
                <w:rFonts w:hint="default"/>
                <w:sz w:val="20"/>
                <w:szCs w:val="20"/>
              </w:rPr>
              <w:t xml:space="preserve">SSB is available </w:t>
            </w:r>
            <w:r>
              <w:rPr>
                <w:rFonts w:hint="default"/>
                <w:sz w:val="20"/>
                <w:szCs w:val="20"/>
                <w:lang w:eastAsia="sv-SE"/>
              </w:rPr>
              <w:t xml:space="preserve">at the UE once every SMTC period during </w:t>
            </w:r>
            <w:r>
              <w:rPr>
                <w:rFonts w:hint="default"/>
                <w:sz w:val="20"/>
                <w:szCs w:val="20"/>
              </w:rPr>
              <w:t>T</w:t>
            </w:r>
            <w:r>
              <w:rPr>
                <w:rFonts w:hint="default"/>
                <w:sz w:val="20"/>
                <w:szCs w:val="20"/>
                <w:vertAlign w:val="subscript"/>
              </w:rPr>
              <w:t>search</w:t>
            </w:r>
          </w:p>
          <w:p>
            <w:pPr>
              <w:pStyle w:val="54"/>
              <w:keepNext w:val="0"/>
              <w:keepLines w:val="0"/>
              <w:widowControl/>
              <w:suppressLineNumbers w:val="0"/>
              <w:spacing w:before="0" w:beforeAutospacing="0" w:afterAutospacing="0"/>
              <w:ind w:right="0"/>
              <w:rPr>
                <w:rFonts w:hint="default"/>
                <w:sz w:val="20"/>
                <w:szCs w:val="20"/>
              </w:rPr>
            </w:pPr>
            <w:r>
              <w:rPr>
                <w:rFonts w:hint="default"/>
                <w:sz w:val="20"/>
                <w:szCs w:val="20"/>
                <w:lang w:eastAsia="ko-KR"/>
              </w:rPr>
              <w:t>-</w:t>
            </w:r>
            <w:r>
              <w:rPr>
                <w:rFonts w:hint="default"/>
                <w:sz w:val="20"/>
                <w:szCs w:val="20"/>
                <w:lang w:eastAsia="ko-KR"/>
              </w:rPr>
              <w:tab/>
            </w:r>
            <w:r>
              <w:rPr>
                <w:rFonts w:hint="default"/>
                <w:sz w:val="20"/>
                <w:szCs w:val="20"/>
              </w:rPr>
              <w:t>One SSB is available during T</w:t>
            </w:r>
            <w:r>
              <w:rPr>
                <w:rFonts w:hint="default"/>
                <w:sz w:val="20"/>
                <w:szCs w:val="20"/>
                <w:vertAlign w:val="subscript"/>
              </w:rPr>
              <w:t>∆</w:t>
            </w:r>
          </w:p>
          <w:p>
            <w:pPr>
              <w:pStyle w:val="54"/>
              <w:keepNext w:val="0"/>
              <w:keepLines w:val="0"/>
              <w:widowControl/>
              <w:suppressLineNumbers w:val="0"/>
              <w:spacing w:before="0" w:beforeAutospacing="0" w:afterAutospacing="0"/>
              <w:ind w:right="0"/>
              <w:rPr>
                <w:rFonts w:hint="default"/>
                <w:sz w:val="20"/>
                <w:szCs w:val="20"/>
              </w:rPr>
            </w:pPr>
            <w:r>
              <w:rPr>
                <w:rFonts w:hint="default"/>
                <w:sz w:val="20"/>
                <w:szCs w:val="20"/>
                <w:lang w:eastAsia="ko-KR"/>
              </w:rPr>
              <w:t>-</w:t>
            </w:r>
            <w:r>
              <w:rPr>
                <w:rFonts w:hint="default"/>
                <w:sz w:val="20"/>
                <w:szCs w:val="20"/>
                <w:lang w:eastAsia="ko-KR"/>
              </w:rPr>
              <w:tab/>
            </w:r>
            <w:r>
              <w:rPr>
                <w:rFonts w:hint="default"/>
                <w:sz w:val="20"/>
                <w:szCs w:val="20"/>
              </w:rPr>
              <w:t>One SSB is available during T</w:t>
            </w:r>
            <w:r>
              <w:rPr>
                <w:rFonts w:hint="default"/>
                <w:sz w:val="20"/>
                <w:szCs w:val="20"/>
                <w:vertAlign w:val="subscript"/>
              </w:rPr>
              <w:t>IU.</w:t>
            </w:r>
          </w:p>
        </w:tc>
      </w:tr>
    </w:tbl>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We find that the legacy handover requirements can be met for HD-FDD UE, however, the measurement applicable conditions may be defined for HD-FDD operation. Thus, when we considering defining the requirements for RedCap HD-FDD UE in NTN scenario, the legacy requirements can be the baseline and the applicable condition can refer to the legacy conditions.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10: The legacy requirements and applicable conditions can be as the baseline for defining requirements of RedCap UE for HD-FDD in NTN scenario. </w:t>
      </w:r>
    </w:p>
    <w:p>
      <w:pPr>
        <w:pStyle w:val="79"/>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 xml:space="preserve">Observation 1: For option 1, the total measurement delay is severely extended.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 xml:space="preserve">Proposal 1: RAN4 could optional support 2 SMTCs in parallel, </w:t>
      </w:r>
      <w:r>
        <w:rPr>
          <w:rFonts w:hint="default" w:eastAsia="宋体"/>
          <w:b/>
          <w:bCs/>
          <w:sz w:val="20"/>
          <w:szCs w:val="20"/>
          <w:lang w:val="en-US" w:eastAsia="zh-CN"/>
        </w:rPr>
        <w:t>“</w:t>
      </w:r>
      <w:r>
        <w:rPr>
          <w:rFonts w:hint="eastAsia" w:eastAsia="宋体"/>
          <w:b/>
          <w:bCs/>
          <w:sz w:val="20"/>
          <w:szCs w:val="20"/>
          <w:lang w:val="en-US" w:eastAsia="zh-CN"/>
        </w:rPr>
        <w:t>parallel</w:t>
      </w:r>
      <w:r>
        <w:rPr>
          <w:rFonts w:hint="default" w:eastAsia="宋体"/>
          <w:b/>
          <w:bCs/>
          <w:sz w:val="20"/>
          <w:szCs w:val="20"/>
          <w:lang w:val="en-US" w:eastAsia="zh-CN"/>
        </w:rPr>
        <w:t>”</w:t>
      </w:r>
      <w:r>
        <w:rPr>
          <w:rFonts w:hint="eastAsia" w:eastAsia="宋体"/>
          <w:b/>
          <w:bCs/>
          <w:sz w:val="20"/>
          <w:szCs w:val="20"/>
          <w:lang w:val="en-US" w:eastAsia="zh-CN"/>
        </w:rPr>
        <w:t xml:space="preserve"> means the STMC are TDM with proximity distance.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b/>
          <w:bCs/>
          <w:sz w:val="20"/>
          <w:szCs w:val="20"/>
          <w:lang w:val="en-US" w:eastAsia="zh-CN"/>
        </w:rPr>
      </w:pPr>
      <w:r>
        <w:rPr>
          <w:rFonts w:hint="eastAsia" w:eastAsia="宋体"/>
          <w:b/>
          <w:bCs/>
          <w:sz w:val="20"/>
          <w:szCs w:val="20"/>
          <w:lang w:val="en-US" w:eastAsia="zh-CN"/>
        </w:rPr>
        <w:t>Observation 2: In (e)RedCap WI, there is no conclusion regarding RF re-tuning time and re-scheduling time for both RedCap UEs and non-RedCap UEs, which we can not say both two kinds of time must have significant differences easily.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2: RAN4 shall reuse the legacy collision conditions between two SMTCs.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eastAsia="宋体"/>
          <w:b/>
          <w:bCs/>
          <w:lang w:val="en-US" w:eastAsia="zh-CN"/>
        </w:rPr>
      </w:pPr>
      <w:r>
        <w:rPr>
          <w:rFonts w:hint="eastAsia" w:eastAsia="宋体"/>
          <w:b/>
          <w:bCs/>
          <w:lang w:val="en-US" w:eastAsia="zh-CN"/>
        </w:rPr>
        <w:t xml:space="preserve">Proposal 3: </w:t>
      </w:r>
      <w:r>
        <w:rPr>
          <w:rFonts w:hint="eastAsia"/>
          <w:b/>
          <w:bCs/>
        </w:rPr>
        <w:t xml:space="preserve">For the number of target LEO satellites the UE can monitor per carrier including serving satellite, legacy UE capability (Feature 25-7, </w:t>
      </w:r>
      <w:r>
        <w:rPr>
          <w:rFonts w:eastAsiaTheme="minorEastAsia"/>
          <w:b/>
          <w:bCs/>
          <w:i/>
          <w:iCs/>
        </w:rPr>
        <w:t>maxNumber-LEO-SatellitesPerCarrier-r17</w:t>
      </w:r>
      <w:r>
        <w:rPr>
          <w:rFonts w:hint="eastAsia"/>
          <w:b/>
          <w:bCs/>
        </w:rPr>
        <w:t xml:space="preserve">) can be reused for </w:t>
      </w:r>
      <w:r>
        <w:rPr>
          <w:rFonts w:eastAsiaTheme="minorEastAsia"/>
          <w:b/>
          <w:bCs/>
          <w:iCs/>
        </w:rPr>
        <w:t>RedCap UE</w:t>
      </w:r>
      <w:r>
        <w:rPr>
          <w:rFonts w:hint="eastAsia" w:eastAsiaTheme="minorEastAsia"/>
          <w:b/>
          <w:bCs/>
          <w:iCs/>
        </w:rPr>
        <w:t>.</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0"/>
          <w:szCs w:val="20"/>
          <w:lang w:val="en-US" w:eastAsia="zh-CN"/>
        </w:rPr>
      </w:pPr>
      <w:r>
        <w:rPr>
          <w:rFonts w:hint="eastAsia" w:eastAsia="宋体"/>
          <w:b/>
          <w:bCs/>
          <w:sz w:val="20"/>
          <w:szCs w:val="20"/>
          <w:lang w:val="en-US" w:eastAsia="zh-CN"/>
        </w:rPr>
        <w:t>Observation 3: In TN network, the number of cells and SSBs used for normal UEs are reused for RedCap UEs.</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0"/>
          <w:szCs w:val="20"/>
          <w:lang w:val="en-US" w:eastAsia="zh-CN"/>
        </w:rPr>
      </w:pPr>
      <w:r>
        <w:rPr>
          <w:rFonts w:hint="eastAsia" w:eastAsia="宋体"/>
          <w:b/>
          <w:bCs/>
          <w:sz w:val="20"/>
          <w:szCs w:val="20"/>
          <w:lang w:val="en-US" w:eastAsia="zh-CN"/>
        </w:rPr>
        <w:t>Proposal 4: The number of cells and SSBs used for normal UE shall be reused for RedCap UEs in NTN scenario.</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ascii="Times New Roman" w:hAnsi="Times New Roman" w:cs="Times New Roman"/>
          <w:b/>
          <w:bCs/>
          <w:sz w:val="20"/>
        </w:rPr>
      </w:pPr>
      <w:r>
        <w:rPr>
          <w:rFonts w:hint="eastAsia" w:eastAsia="宋体"/>
          <w:b/>
          <w:bCs/>
          <w:sz w:val="20"/>
          <w:szCs w:val="20"/>
          <w:lang w:val="en-US" w:eastAsia="zh-CN"/>
        </w:rPr>
        <w:t xml:space="preserve">Proposal 5: </w:t>
      </w:r>
      <w:r>
        <w:rPr>
          <w:rFonts w:ascii="Times New Roman" w:hAnsi="Times New Roman" w:cs="Times New Roman"/>
          <w:b/>
          <w:bCs/>
          <w:sz w:val="20"/>
        </w:rPr>
        <w:t xml:space="preserve">The capability </w:t>
      </w:r>
      <w:r>
        <w:rPr>
          <w:rFonts w:hint="eastAsia" w:ascii="Times New Roman" w:hAnsi="Times New Roman" w:cs="Times New Roman"/>
          <w:b/>
          <w:bCs/>
          <w:sz w:val="20"/>
        </w:rPr>
        <w:t>Feature 25-3(parallelMeasurementGap-r17)</w:t>
      </w:r>
      <w:r>
        <w:rPr>
          <w:rFonts w:ascii="Times New Roman" w:hAnsi="Times New Roman" w:cs="Times New Roman"/>
          <w:b/>
          <w:bCs/>
          <w:sz w:val="20"/>
        </w:rPr>
        <w:t xml:space="preserve"> is valid for RedCap UE.</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eastAsia="宋体" w:cs="Times New Roman"/>
          <w:b/>
          <w:bCs/>
          <w:i w:val="0"/>
          <w:iCs w:val="0"/>
          <w:sz w:val="20"/>
          <w:szCs w:val="20"/>
          <w:lang w:val="en-US" w:eastAsia="zh-CN" w:bidi="ar"/>
        </w:rPr>
      </w:pPr>
      <w:r>
        <w:rPr>
          <w:rFonts w:hint="eastAsia" w:ascii="Times New Roman" w:hAnsi="Times New Roman" w:eastAsia="宋体" w:cs="Times New Roman"/>
          <w:b/>
          <w:bCs/>
          <w:i w:val="0"/>
          <w:iCs w:val="0"/>
          <w:sz w:val="20"/>
          <w:szCs w:val="20"/>
          <w:lang w:val="en-US" w:eastAsia="zh-CN" w:bidi="ar"/>
        </w:rPr>
        <w:t>Proposal 6: For enhanced cell re-selection for (e)RedCap UE with FR1-NTN bands, the T</w:t>
      </w:r>
      <w:r>
        <w:rPr>
          <w:rFonts w:hint="eastAsia" w:ascii="Times New Roman" w:hAnsi="Times New Roman" w:eastAsia="宋体" w:cs="Times New Roman"/>
          <w:b/>
          <w:bCs/>
          <w:i w:val="0"/>
          <w:iCs w:val="0"/>
          <w:sz w:val="20"/>
          <w:szCs w:val="20"/>
          <w:vertAlign w:val="subscript"/>
          <w:lang w:val="en-US" w:eastAsia="zh-CN" w:bidi="ar"/>
        </w:rPr>
        <w:t>detect,NR_Intra_enh</w:t>
      </w:r>
      <w:r>
        <w:rPr>
          <w:rFonts w:hint="eastAsia" w:ascii="Times New Roman" w:hAnsi="Times New Roman" w:eastAsia="宋体" w:cs="Times New Roman"/>
          <w:b/>
          <w:bCs/>
          <w:i w:val="0"/>
          <w:iCs w:val="0"/>
          <w:sz w:val="20"/>
          <w:szCs w:val="20"/>
          <w:lang w:val="en-US" w:eastAsia="zh-CN" w:bidi="ar"/>
        </w:rPr>
        <w:t>, T</w:t>
      </w:r>
      <w:r>
        <w:rPr>
          <w:rFonts w:hint="eastAsia" w:ascii="Times New Roman" w:hAnsi="Times New Roman" w:eastAsia="宋体" w:cs="Times New Roman"/>
          <w:b/>
          <w:bCs/>
          <w:i w:val="0"/>
          <w:iCs w:val="0"/>
          <w:sz w:val="20"/>
          <w:szCs w:val="20"/>
          <w:vertAlign w:val="subscript"/>
          <w:lang w:val="en-US" w:eastAsia="zh-CN" w:bidi="ar"/>
        </w:rPr>
        <w:t>measure,NR_Intra_enh</w:t>
      </w:r>
      <w:r>
        <w:rPr>
          <w:rFonts w:hint="eastAsia" w:ascii="Times New Roman" w:hAnsi="Times New Roman" w:eastAsia="宋体" w:cs="Times New Roman"/>
          <w:b/>
          <w:bCs/>
          <w:i w:val="0"/>
          <w:iCs w:val="0"/>
          <w:sz w:val="20"/>
          <w:szCs w:val="20"/>
          <w:lang w:val="en-US" w:eastAsia="zh-CN" w:bidi="ar"/>
        </w:rPr>
        <w:t xml:space="preserve"> and T</w:t>
      </w:r>
      <w:r>
        <w:rPr>
          <w:rFonts w:hint="eastAsia" w:ascii="Times New Roman" w:hAnsi="Times New Roman" w:eastAsia="宋体" w:cs="Times New Roman"/>
          <w:b/>
          <w:bCs/>
          <w:i w:val="0"/>
          <w:iCs w:val="0"/>
          <w:sz w:val="20"/>
          <w:szCs w:val="20"/>
          <w:vertAlign w:val="subscript"/>
          <w:lang w:val="en-US" w:eastAsia="zh-CN" w:bidi="ar"/>
        </w:rPr>
        <w:t>evaluate,NR_Intra_enh</w:t>
      </w:r>
      <w:r>
        <w:rPr>
          <w:rFonts w:hint="eastAsia" w:ascii="Times New Roman" w:hAnsi="Times New Roman" w:eastAsia="宋体" w:cs="Times New Roman"/>
          <w:b/>
          <w:bCs/>
          <w:i w:val="0"/>
          <w:iCs w:val="0"/>
          <w:sz w:val="20"/>
          <w:szCs w:val="20"/>
          <w:lang w:val="en-US" w:eastAsia="zh-CN" w:bidi="ar"/>
        </w:rPr>
        <w:t xml:space="preserve"> are reused the legacy FR1-NTN requirements for RedCap UEs. In addition, The UE is not required to meet the requirements for 2.56 s DRX cycle length for earth-moving LEO deployment.</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Observation </w:t>
      </w:r>
      <w:r>
        <w:rPr>
          <w:rFonts w:hint="eastAsia" w:cs="Times New Roman"/>
          <w:b/>
          <w:bCs/>
          <w:sz w:val="20"/>
          <w:lang w:val="en-US" w:eastAsia="zh-CN"/>
        </w:rPr>
        <w:t>4</w:t>
      </w:r>
      <w:r>
        <w:rPr>
          <w:rFonts w:hint="eastAsia" w:ascii="Times New Roman" w:hAnsi="Times New Roman" w:cs="Times New Roman"/>
          <w:b/>
          <w:bCs/>
          <w:sz w:val="20"/>
          <w:lang w:val="en-US" w:eastAsia="zh-CN"/>
        </w:rPr>
        <w:t>: Although the measurement requirements are same, the conditions for 1Rx and 2Rx shall be distinguished.</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7</w:t>
      </w:r>
      <w:r>
        <w:rPr>
          <w:rFonts w:hint="eastAsia" w:ascii="Times New Roman" w:hAnsi="Times New Roman" w:cs="Times New Roman"/>
          <w:b/>
          <w:bCs/>
          <w:sz w:val="20"/>
          <w:lang w:val="en-US" w:eastAsia="zh-CN"/>
        </w:rPr>
        <w:t>: The cell re-selection inter-frequency and inter-RAT measurement requirements in legacy NTN can be reused for 2Rx and 1Rx RedCap UEs considering TN to  NTN and NTN to TN.</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w:t>
      </w:r>
      <w:r>
        <w:rPr>
          <w:rFonts w:hint="eastAsia" w:cs="Times New Roman"/>
          <w:b/>
          <w:bCs/>
          <w:sz w:val="20"/>
          <w:lang w:val="en-US" w:eastAsia="zh-CN"/>
        </w:rPr>
        <w:t>8</w:t>
      </w:r>
      <w:r>
        <w:rPr>
          <w:rFonts w:hint="eastAsia" w:ascii="Times New Roman" w:hAnsi="Times New Roman" w:cs="Times New Roman"/>
          <w:b/>
          <w:bCs/>
          <w:sz w:val="20"/>
          <w:lang w:val="en-US" w:eastAsia="zh-CN"/>
        </w:rPr>
        <w:t>: RAN4 shall reuse the 1dB offset as legacy for 1Rx RedCap UE in NR NTN.</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eastAsia"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9: </w:t>
      </w:r>
    </w:p>
    <w:p>
      <w:pPr>
        <w:numPr>
          <w:ilvl w:val="1"/>
          <w:numId w:val="5"/>
        </w:numPr>
        <w:spacing w:after="120"/>
        <w:rPr>
          <w:b/>
          <w:bCs/>
          <w:iCs/>
        </w:rPr>
      </w:pPr>
      <w:r>
        <w:rPr>
          <w:rFonts w:hint="eastAsia"/>
          <w:b/>
          <w:bCs/>
          <w:iCs/>
        </w:rPr>
        <w:t>F</w:t>
      </w:r>
      <w:r>
        <w:rPr>
          <w:b/>
          <w:bCs/>
          <w:iCs/>
        </w:rPr>
        <w:t>or 2Rx</w:t>
      </w:r>
      <w:r>
        <w:rPr>
          <w:rFonts w:hint="eastAsia"/>
          <w:b/>
          <w:bCs/>
          <w:iCs/>
        </w:rPr>
        <w:t xml:space="preserve"> </w:t>
      </w:r>
      <w:r>
        <w:rPr>
          <w:b/>
          <w:bCs/>
          <w:iCs/>
        </w:rPr>
        <w:t xml:space="preserve">(e)RedCap UEs with FR1-NTN bands, </w:t>
      </w:r>
    </w:p>
    <w:p>
      <w:pPr>
        <w:numPr>
          <w:ilvl w:val="2"/>
          <w:numId w:val="5"/>
        </w:numPr>
        <w:spacing w:after="120"/>
        <w:rPr>
          <w:b/>
          <w:bCs/>
          <w:iCs/>
        </w:rPr>
      </w:pPr>
      <w:r>
        <w:rPr>
          <w:b/>
          <w:bCs/>
          <w:iCs/>
        </w:rPr>
        <w:t>RAN4 to reuse the measurement accuracy requirements for normal UEs</w:t>
      </w:r>
      <w:r>
        <w:rPr>
          <w:rFonts w:hint="eastAsia"/>
          <w:b/>
          <w:bCs/>
          <w:iCs/>
        </w:rPr>
        <w:t xml:space="preserve"> </w:t>
      </w:r>
      <w:r>
        <w:rPr>
          <w:b/>
          <w:bCs/>
          <w:iCs/>
        </w:rPr>
        <w:t>defined in NTN</w:t>
      </w:r>
      <w:r>
        <w:rPr>
          <w:rFonts w:hint="eastAsia"/>
          <w:b/>
          <w:bCs/>
          <w:iCs/>
        </w:rPr>
        <w:t>.</w:t>
      </w:r>
    </w:p>
    <w:p>
      <w:pPr>
        <w:numPr>
          <w:ilvl w:val="1"/>
          <w:numId w:val="5"/>
        </w:numPr>
        <w:spacing w:after="120"/>
        <w:rPr>
          <w:b/>
          <w:bCs/>
          <w:iCs/>
        </w:rPr>
      </w:pPr>
      <w:r>
        <w:rPr>
          <w:rFonts w:hint="eastAsia"/>
          <w:b/>
          <w:bCs/>
          <w:iCs/>
        </w:rPr>
        <w:t>For 1</w:t>
      </w:r>
      <w:r>
        <w:rPr>
          <w:b/>
          <w:bCs/>
          <w:iCs/>
        </w:rPr>
        <w:t>Rx</w:t>
      </w:r>
      <w:r>
        <w:rPr>
          <w:rFonts w:hint="eastAsia"/>
          <w:b/>
          <w:bCs/>
          <w:iCs/>
        </w:rPr>
        <w:t xml:space="preserve"> </w:t>
      </w:r>
      <w:r>
        <w:rPr>
          <w:b/>
          <w:bCs/>
          <w:iCs/>
        </w:rPr>
        <w:t>(e)RedCap UEs with FR1-NTN bands</w:t>
      </w:r>
      <w:r>
        <w:rPr>
          <w:rFonts w:hint="eastAsia"/>
          <w:b/>
          <w:bCs/>
          <w:iCs/>
        </w:rPr>
        <w:t xml:space="preserve">, </w:t>
      </w:r>
    </w:p>
    <w:p>
      <w:pPr>
        <w:numPr>
          <w:ilvl w:val="2"/>
          <w:numId w:val="5"/>
        </w:numPr>
        <w:spacing w:after="120"/>
        <w:rPr>
          <w:b/>
          <w:bCs/>
          <w:iCs/>
        </w:rPr>
      </w:pPr>
      <w:r>
        <w:rPr>
          <w:rFonts w:hint="eastAsia"/>
          <w:b/>
          <w:bCs/>
          <w:iCs/>
        </w:rPr>
        <w:t>RAN4</w:t>
      </w:r>
      <w:r>
        <w:rPr>
          <w:b/>
          <w:bCs/>
          <w:iCs/>
        </w:rPr>
        <w:t xml:space="preserve"> to relax the </w:t>
      </w:r>
      <w:r>
        <w:rPr>
          <w:rFonts w:hint="eastAsia"/>
          <w:b/>
          <w:bCs/>
          <w:iCs/>
        </w:rPr>
        <w:t xml:space="preserve">L1/L3 </w:t>
      </w:r>
      <w:r>
        <w:rPr>
          <w:b/>
          <w:bCs/>
          <w:iCs/>
        </w:rPr>
        <w:t>measurement accuracy for SS-RSRP, SS-RSRQ, SS-SINR and L1-RSRP compared to those defined for 2Rx (e)RedCap UEs.</w:t>
      </w:r>
    </w:p>
    <w:p>
      <w:pPr>
        <w:numPr>
          <w:ilvl w:val="3"/>
          <w:numId w:val="5"/>
        </w:numPr>
        <w:spacing w:after="120"/>
        <w:ind w:left="3096"/>
        <w:rPr>
          <w:b/>
          <w:bCs/>
          <w:iCs/>
        </w:rPr>
      </w:pPr>
      <w:r>
        <w:rPr>
          <w:rFonts w:hint="eastAsia"/>
          <w:b/>
          <w:bCs/>
          <w:iCs/>
        </w:rPr>
        <w:t>The same</w:t>
      </w:r>
      <w:r>
        <w:rPr>
          <w:b/>
          <w:bCs/>
          <w:iCs/>
        </w:rPr>
        <w:t xml:space="preserve"> relaxation</w:t>
      </w:r>
      <w:r>
        <w:rPr>
          <w:rFonts w:hint="eastAsia"/>
          <w:b/>
          <w:bCs/>
          <w:iCs/>
        </w:rPr>
        <w:t xml:space="preserve"> defined in TN </w:t>
      </w:r>
      <w:r>
        <w:rPr>
          <w:b/>
          <w:bCs/>
          <w:iCs/>
        </w:rPr>
        <w:t>for 1Rx</w:t>
      </w:r>
      <w:r>
        <w:rPr>
          <w:rFonts w:hint="eastAsia"/>
          <w:b/>
          <w:bCs/>
          <w:iCs/>
        </w:rPr>
        <w:t xml:space="preserve"> </w:t>
      </w:r>
      <w:r>
        <w:rPr>
          <w:b/>
          <w:bCs/>
          <w:iCs/>
        </w:rPr>
        <w:t>(e)RedCap UEs</w:t>
      </w:r>
      <w:r>
        <w:rPr>
          <w:rFonts w:hint="eastAsia"/>
          <w:b/>
          <w:bCs/>
          <w:iCs/>
        </w:rPr>
        <w:t xml:space="preserve"> can be reused.</w:t>
      </w:r>
    </w:p>
    <w:p>
      <w:pPr>
        <w:numPr>
          <w:ilvl w:val="0"/>
          <w:numId w:val="9"/>
        </w:numPr>
        <w:spacing w:after="120"/>
        <w:rPr>
          <w:b/>
          <w:bCs/>
          <w:iCs/>
        </w:rPr>
      </w:pPr>
      <w:r>
        <w:rPr>
          <w:b/>
          <w:bCs/>
          <w:iCs/>
          <w:lang w:val="en-GB"/>
        </w:rPr>
        <w:t>SS-RSRP, SS-RSRQ, SS-SINR</w:t>
      </w:r>
      <w:r>
        <w:rPr>
          <w:rFonts w:hint="eastAsia"/>
          <w:b/>
          <w:bCs/>
          <w:iCs/>
          <w:lang w:val="en-GB"/>
        </w:rPr>
        <w:t xml:space="preserve">: </w:t>
      </w:r>
      <w:r>
        <w:rPr>
          <w:b/>
          <w:bCs/>
          <w:iCs/>
          <w:lang w:val="en-GB"/>
        </w:rPr>
        <w:t>relax</w:t>
      </w:r>
      <w:r>
        <w:rPr>
          <w:rFonts w:hint="eastAsia" w:eastAsia="宋体"/>
          <w:b/>
          <w:bCs/>
          <w:iCs/>
          <w:lang w:val="en-US" w:eastAsia="zh-CN"/>
        </w:rPr>
        <w:t>ed</w:t>
      </w:r>
      <w:r>
        <w:rPr>
          <w:b/>
          <w:bCs/>
          <w:iCs/>
          <w:lang w:val="en-GB"/>
        </w:rPr>
        <w:t xml:space="preserve"> by 1dB</w:t>
      </w:r>
      <w:r>
        <w:rPr>
          <w:rFonts w:hint="eastAsia"/>
          <w:b/>
          <w:bCs/>
          <w:iCs/>
          <w:lang w:val="en-GB"/>
        </w:rPr>
        <w:t>.</w:t>
      </w:r>
    </w:p>
    <w:p>
      <w:pPr>
        <w:numPr>
          <w:ilvl w:val="0"/>
          <w:numId w:val="9"/>
        </w:numPr>
        <w:spacing w:after="120"/>
        <w:rPr>
          <w:rFonts w:hint="default"/>
          <w:b/>
          <w:bCs/>
          <w:iCs/>
          <w:lang w:val="en-US" w:eastAsia="zh-CN"/>
        </w:rPr>
      </w:pPr>
      <w:r>
        <w:rPr>
          <w:b/>
          <w:bCs/>
          <w:iCs/>
          <w:lang w:val="en-GB"/>
        </w:rPr>
        <w:t>L1-RSRP</w:t>
      </w:r>
      <w:r>
        <w:rPr>
          <w:rFonts w:hint="eastAsia"/>
          <w:b/>
          <w:bCs/>
          <w:iCs/>
          <w:lang w:val="en-GB"/>
        </w:rPr>
        <w:t>:</w:t>
      </w:r>
      <w:r>
        <w:rPr>
          <w:b/>
          <w:bCs/>
          <w:iCs/>
          <w:lang w:val="en-GB"/>
        </w:rPr>
        <w:t xml:space="preserve"> relax</w:t>
      </w:r>
      <w:r>
        <w:rPr>
          <w:rFonts w:hint="eastAsia" w:eastAsia="宋体"/>
          <w:b/>
          <w:bCs/>
          <w:iCs/>
          <w:lang w:val="en-US" w:eastAsia="zh-CN"/>
        </w:rPr>
        <w:t>ed</w:t>
      </w:r>
      <w:r>
        <w:rPr>
          <w:b/>
          <w:bCs/>
          <w:iCs/>
          <w:lang w:val="en-GB"/>
        </w:rPr>
        <w:t xml:space="preserve"> by 3dB.</w:t>
      </w:r>
    </w:p>
    <w:p>
      <w:pPr>
        <w:keepNext w:val="0"/>
        <w:keepLines w:val="0"/>
        <w:pageBreakBefore w:val="0"/>
        <w:widowControl/>
        <w:numPr>
          <w:ilvl w:val="0"/>
          <w:numId w:val="0"/>
        </w:numPr>
        <w:kinsoku/>
        <w:wordWrap/>
        <w:overflowPunct/>
        <w:topLinePunct w:val="0"/>
        <w:autoSpaceDE/>
        <w:autoSpaceDN/>
        <w:bidi w:val="0"/>
        <w:adjustRightInd/>
        <w:snapToGrid/>
        <w:spacing w:beforeLines="50" w:after="0" w:afterLines="50"/>
        <w:jc w:val="both"/>
        <w:textAlignment w:val="auto"/>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 xml:space="preserve">Proposal 10: The legacy requirements and applicable conditions can be as the baseline for defining requirements of RedCap UE for HD-FDD in NTN scenario. </w:t>
      </w:r>
    </w:p>
    <w:p>
      <w:pPr>
        <w:pStyle w:val="79"/>
        <w:numPr>
          <w:ilvl w:val="0"/>
          <w:numId w:val="0"/>
        </w:numPr>
        <w:ind w:left="360" w:hanging="360"/>
        <w:rPr>
          <w:lang w:val="en-US"/>
        </w:rPr>
      </w:pPr>
      <w:r>
        <w:rPr>
          <w:lang w:val="en-US"/>
        </w:rPr>
        <w:t>References</w:t>
      </w:r>
    </w:p>
    <w:p>
      <w:pPr>
        <w:rPr>
          <w:lang w:val="en-US"/>
        </w:rPr>
      </w:pPr>
      <w:bookmarkStart w:id="2" w:name="_Ref114500673"/>
      <w:bookmarkEnd w:id="2"/>
      <w:r>
        <w:rPr>
          <w:rFonts w:hint="eastAsia" w:eastAsia="宋体"/>
          <w:lang w:val="en-US" w:eastAsia="zh-CN"/>
        </w:rPr>
        <w:t xml:space="preserve">[1] </w:t>
      </w:r>
      <w:r>
        <w:rPr>
          <w:rFonts w:hint="eastAsia"/>
        </w:rPr>
        <w:t>R</w:t>
      </w:r>
      <w:r>
        <w:rPr>
          <w:rFonts w:hint="eastAsia" w:eastAsia="宋体"/>
          <w:lang w:val="en-US" w:eastAsia="zh-CN"/>
        </w:rPr>
        <w:t>4</w:t>
      </w:r>
      <w:r>
        <w:rPr>
          <w:rFonts w:hint="eastAsia"/>
        </w:rPr>
        <w:t>-2</w:t>
      </w:r>
      <w:r>
        <w:rPr>
          <w:rFonts w:hint="eastAsia" w:eastAsia="宋体"/>
          <w:lang w:val="en-US" w:eastAsia="zh-CN"/>
        </w:rPr>
        <w:t>502604</w:t>
      </w:r>
      <w:r>
        <w:rPr>
          <w:rFonts w:hint="eastAsia" w:eastAsia="宋体"/>
          <w:lang w:eastAsia="zh-CN"/>
        </w:rPr>
        <w:t>，</w:t>
      </w:r>
      <w:r>
        <w:rPr>
          <w:rFonts w:hint="eastAsia" w:eastAsia="宋体"/>
          <w:lang w:val="en-US" w:eastAsia="zh-CN"/>
        </w:rPr>
        <w:t>WF on RRM requirements for NR_NTN_Ph3_Part1</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44D00"/>
    <w:multiLevelType w:val="multilevel"/>
    <w:tmpl w:val="09844D00"/>
    <w:lvl w:ilvl="0" w:tentative="0">
      <w:start w:val="3"/>
      <w:numFmt w:val="bullet"/>
      <w:lvlText w:val="-"/>
      <w:lvlJc w:val="left"/>
      <w:pPr>
        <w:ind w:left="3582" w:hanging="420"/>
      </w:pPr>
      <w:rPr>
        <w:rFonts w:hint="default" w:ascii="Times New Roman" w:hAnsi="Times New Roman" w:cs="Times New Roman" w:eastAsiaTheme="minorEastAsia"/>
      </w:rPr>
    </w:lvl>
    <w:lvl w:ilvl="1" w:tentative="0">
      <w:start w:val="1"/>
      <w:numFmt w:val="bullet"/>
      <w:lvlText w:val=""/>
      <w:lvlJc w:val="left"/>
      <w:pPr>
        <w:ind w:left="4002" w:hanging="420"/>
      </w:pPr>
      <w:rPr>
        <w:rFonts w:hint="default" w:ascii="Wingdings" w:hAnsi="Wingdings"/>
      </w:rPr>
    </w:lvl>
    <w:lvl w:ilvl="2" w:tentative="0">
      <w:start w:val="1"/>
      <w:numFmt w:val="bullet"/>
      <w:lvlText w:val=""/>
      <w:lvlJc w:val="left"/>
      <w:pPr>
        <w:ind w:left="4422" w:hanging="420"/>
      </w:pPr>
      <w:rPr>
        <w:rFonts w:hint="default" w:ascii="Wingdings" w:hAnsi="Wingdings"/>
      </w:rPr>
    </w:lvl>
    <w:lvl w:ilvl="3" w:tentative="0">
      <w:start w:val="1"/>
      <w:numFmt w:val="bullet"/>
      <w:lvlText w:val=""/>
      <w:lvlJc w:val="left"/>
      <w:pPr>
        <w:ind w:left="4842" w:hanging="420"/>
      </w:pPr>
      <w:rPr>
        <w:rFonts w:hint="default" w:ascii="Wingdings" w:hAnsi="Wingdings"/>
      </w:rPr>
    </w:lvl>
    <w:lvl w:ilvl="4" w:tentative="0">
      <w:start w:val="1"/>
      <w:numFmt w:val="bullet"/>
      <w:lvlText w:val=""/>
      <w:lvlJc w:val="left"/>
      <w:pPr>
        <w:ind w:left="5262" w:hanging="420"/>
      </w:pPr>
      <w:rPr>
        <w:rFonts w:hint="default" w:ascii="Wingdings" w:hAnsi="Wingdings"/>
      </w:rPr>
    </w:lvl>
    <w:lvl w:ilvl="5" w:tentative="0">
      <w:start w:val="1"/>
      <w:numFmt w:val="bullet"/>
      <w:lvlText w:val=""/>
      <w:lvlJc w:val="left"/>
      <w:pPr>
        <w:ind w:left="5682" w:hanging="420"/>
      </w:pPr>
      <w:rPr>
        <w:rFonts w:hint="default" w:ascii="Wingdings" w:hAnsi="Wingdings"/>
      </w:rPr>
    </w:lvl>
    <w:lvl w:ilvl="6" w:tentative="0">
      <w:start w:val="1"/>
      <w:numFmt w:val="bullet"/>
      <w:lvlText w:val=""/>
      <w:lvlJc w:val="left"/>
      <w:pPr>
        <w:ind w:left="6102" w:hanging="420"/>
      </w:pPr>
      <w:rPr>
        <w:rFonts w:hint="default" w:ascii="Wingdings" w:hAnsi="Wingdings"/>
      </w:rPr>
    </w:lvl>
    <w:lvl w:ilvl="7" w:tentative="0">
      <w:start w:val="1"/>
      <w:numFmt w:val="bullet"/>
      <w:lvlText w:val=""/>
      <w:lvlJc w:val="left"/>
      <w:pPr>
        <w:ind w:left="6522" w:hanging="420"/>
      </w:pPr>
      <w:rPr>
        <w:rFonts w:hint="default" w:ascii="Wingdings" w:hAnsi="Wingdings"/>
      </w:rPr>
    </w:lvl>
    <w:lvl w:ilvl="8" w:tentative="0">
      <w:start w:val="1"/>
      <w:numFmt w:val="bullet"/>
      <w:lvlText w:val=""/>
      <w:lvlJc w:val="left"/>
      <w:pPr>
        <w:ind w:left="6942" w:hanging="420"/>
      </w:pPr>
      <w:rPr>
        <w:rFonts w:hint="default" w:ascii="Wingdings" w:hAnsi="Wingdings"/>
      </w:rPr>
    </w:lvl>
  </w:abstractNum>
  <w:abstractNum w:abstractNumId="1">
    <w:nsid w:val="123527BB"/>
    <w:multiLevelType w:val="multilevel"/>
    <w:tmpl w:val="123527BB"/>
    <w:lvl w:ilvl="0" w:tentative="0">
      <w:start w:val="0"/>
      <w:numFmt w:val="bullet"/>
      <w:lvlText w:val="-"/>
      <w:lvlJc w:val="left"/>
      <w:pPr>
        <w:ind w:left="3516" w:hanging="420"/>
      </w:pPr>
      <w:rPr>
        <w:rFonts w:hint="default" w:ascii="Calibri" w:hAnsi="Calibri" w:eastAsia="宋体" w:cs="Calibri"/>
        <w:color w:val="auto"/>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BF916DF"/>
    <w:multiLevelType w:val="singleLevel"/>
    <w:tmpl w:val="4BF916DF"/>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82"/>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pStyle w:val="79"/>
      <w:lvlText w:val="%1"/>
      <w:lvlJc w:val="left"/>
      <w:pPr>
        <w:ind w:left="360" w:hanging="360"/>
      </w:pPr>
      <w:rPr>
        <w:rFonts w:hint="default"/>
      </w:rPr>
    </w:lvl>
    <w:lvl w:ilvl="1" w:tentative="0">
      <w:start w:val="1"/>
      <w:numFmt w:val="decimal"/>
      <w:pStyle w:val="81"/>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72F85C17"/>
    <w:multiLevelType w:val="multilevel"/>
    <w:tmpl w:val="72F85C17"/>
    <w:lvl w:ilvl="0" w:tentative="0">
      <w:start w:val="6"/>
      <w:numFmt w:val="bullet"/>
      <w:lvlText w:val="-"/>
      <w:lvlJc w:val="left"/>
      <w:pPr>
        <w:ind w:left="4002" w:hanging="420"/>
      </w:pPr>
      <w:rPr>
        <w:rFonts w:hint="default" w:ascii="Times New Roman" w:hAnsi="Times New Roman" w:eastAsia="宋体" w:cs="Times New Roman"/>
      </w:rPr>
    </w:lvl>
    <w:lvl w:ilvl="1" w:tentative="0">
      <w:start w:val="1"/>
      <w:numFmt w:val="bullet"/>
      <w:lvlText w:val=""/>
      <w:lvlJc w:val="left"/>
      <w:pPr>
        <w:ind w:left="4422" w:hanging="420"/>
      </w:pPr>
      <w:rPr>
        <w:rFonts w:hint="default" w:ascii="Wingdings" w:hAnsi="Wingdings"/>
      </w:rPr>
    </w:lvl>
    <w:lvl w:ilvl="2" w:tentative="0">
      <w:start w:val="1"/>
      <w:numFmt w:val="bullet"/>
      <w:lvlText w:val=""/>
      <w:lvlJc w:val="left"/>
      <w:pPr>
        <w:ind w:left="4842" w:hanging="420"/>
      </w:pPr>
      <w:rPr>
        <w:rFonts w:hint="default" w:ascii="Wingdings" w:hAnsi="Wingdings"/>
      </w:rPr>
    </w:lvl>
    <w:lvl w:ilvl="3" w:tentative="0">
      <w:start w:val="1"/>
      <w:numFmt w:val="bullet"/>
      <w:lvlText w:val=""/>
      <w:lvlJc w:val="left"/>
      <w:pPr>
        <w:ind w:left="5262" w:hanging="420"/>
      </w:pPr>
      <w:rPr>
        <w:rFonts w:hint="default" w:ascii="Wingdings" w:hAnsi="Wingdings"/>
      </w:rPr>
    </w:lvl>
    <w:lvl w:ilvl="4" w:tentative="0">
      <w:start w:val="1"/>
      <w:numFmt w:val="bullet"/>
      <w:lvlText w:val=""/>
      <w:lvlJc w:val="left"/>
      <w:pPr>
        <w:ind w:left="5682" w:hanging="420"/>
      </w:pPr>
      <w:rPr>
        <w:rFonts w:hint="default" w:ascii="Wingdings" w:hAnsi="Wingdings"/>
      </w:rPr>
    </w:lvl>
    <w:lvl w:ilvl="5" w:tentative="0">
      <w:start w:val="1"/>
      <w:numFmt w:val="bullet"/>
      <w:lvlText w:val=""/>
      <w:lvlJc w:val="left"/>
      <w:pPr>
        <w:ind w:left="6102" w:hanging="420"/>
      </w:pPr>
      <w:rPr>
        <w:rFonts w:hint="default" w:ascii="Wingdings" w:hAnsi="Wingdings"/>
      </w:rPr>
    </w:lvl>
    <w:lvl w:ilvl="6" w:tentative="0">
      <w:start w:val="1"/>
      <w:numFmt w:val="bullet"/>
      <w:lvlText w:val=""/>
      <w:lvlJc w:val="left"/>
      <w:pPr>
        <w:ind w:left="6522" w:hanging="420"/>
      </w:pPr>
      <w:rPr>
        <w:rFonts w:hint="default" w:ascii="Wingdings" w:hAnsi="Wingdings"/>
      </w:rPr>
    </w:lvl>
    <w:lvl w:ilvl="7" w:tentative="0">
      <w:start w:val="1"/>
      <w:numFmt w:val="bullet"/>
      <w:lvlText w:val=""/>
      <w:lvlJc w:val="left"/>
      <w:pPr>
        <w:ind w:left="6942" w:hanging="420"/>
      </w:pPr>
      <w:rPr>
        <w:rFonts w:hint="default" w:ascii="Wingdings" w:hAnsi="Wingdings"/>
      </w:rPr>
    </w:lvl>
    <w:lvl w:ilvl="8" w:tentative="0">
      <w:start w:val="1"/>
      <w:numFmt w:val="bullet"/>
      <w:lvlText w:val=""/>
      <w:lvlJc w:val="left"/>
      <w:pPr>
        <w:ind w:left="7362" w:hanging="420"/>
      </w:pPr>
      <w:rPr>
        <w:rFonts w:hint="default" w:ascii="Wingdings" w:hAnsi="Wingdings"/>
      </w:r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4"/>
  </w:num>
  <w:num w:numId="3">
    <w:abstractNumId w:val="8"/>
  </w:num>
  <w:num w:numId="4">
    <w:abstractNumId w:val="2"/>
  </w:num>
  <w:num w:numId="5">
    <w:abstractNumId w:val="5"/>
  </w:num>
  <w:num w:numId="6">
    <w:abstractNumId w:val="0"/>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152A"/>
    <w:rsid w:val="0011507D"/>
    <w:rsid w:val="00131F19"/>
    <w:rsid w:val="00133525"/>
    <w:rsid w:val="00167FF6"/>
    <w:rsid w:val="001A4C42"/>
    <w:rsid w:val="001A7420"/>
    <w:rsid w:val="001B6637"/>
    <w:rsid w:val="001C21C3"/>
    <w:rsid w:val="001D02C2"/>
    <w:rsid w:val="001F0C1D"/>
    <w:rsid w:val="001F1132"/>
    <w:rsid w:val="001F168B"/>
    <w:rsid w:val="001F3AF1"/>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00352"/>
    <w:rsid w:val="00423334"/>
    <w:rsid w:val="00425BC0"/>
    <w:rsid w:val="004345EC"/>
    <w:rsid w:val="0044364B"/>
    <w:rsid w:val="0044437F"/>
    <w:rsid w:val="00454360"/>
    <w:rsid w:val="00465515"/>
    <w:rsid w:val="00471A80"/>
    <w:rsid w:val="004929E3"/>
    <w:rsid w:val="00495EB4"/>
    <w:rsid w:val="004B2A74"/>
    <w:rsid w:val="004C61CE"/>
    <w:rsid w:val="004D3578"/>
    <w:rsid w:val="004E213A"/>
    <w:rsid w:val="004F0988"/>
    <w:rsid w:val="004F3340"/>
    <w:rsid w:val="0053388B"/>
    <w:rsid w:val="00535773"/>
    <w:rsid w:val="00543E6C"/>
    <w:rsid w:val="00546D44"/>
    <w:rsid w:val="0055210D"/>
    <w:rsid w:val="0056254B"/>
    <w:rsid w:val="00565087"/>
    <w:rsid w:val="00567D30"/>
    <w:rsid w:val="0057305F"/>
    <w:rsid w:val="00586E2E"/>
    <w:rsid w:val="0058779C"/>
    <w:rsid w:val="00597B11"/>
    <w:rsid w:val="005D2E01"/>
    <w:rsid w:val="005D7526"/>
    <w:rsid w:val="005E4BB2"/>
    <w:rsid w:val="00602AEA"/>
    <w:rsid w:val="00614FDF"/>
    <w:rsid w:val="00631B7B"/>
    <w:rsid w:val="0063543D"/>
    <w:rsid w:val="0063585B"/>
    <w:rsid w:val="00647114"/>
    <w:rsid w:val="00657F65"/>
    <w:rsid w:val="00677DB7"/>
    <w:rsid w:val="006A323F"/>
    <w:rsid w:val="006A6F17"/>
    <w:rsid w:val="006B30D0"/>
    <w:rsid w:val="006C1584"/>
    <w:rsid w:val="006C3D95"/>
    <w:rsid w:val="006E5C86"/>
    <w:rsid w:val="006F1357"/>
    <w:rsid w:val="006F61D7"/>
    <w:rsid w:val="00701116"/>
    <w:rsid w:val="00703050"/>
    <w:rsid w:val="00713C44"/>
    <w:rsid w:val="00734A5B"/>
    <w:rsid w:val="0074026F"/>
    <w:rsid w:val="007429F6"/>
    <w:rsid w:val="00743C79"/>
    <w:rsid w:val="00744E76"/>
    <w:rsid w:val="00774DA4"/>
    <w:rsid w:val="00781F0F"/>
    <w:rsid w:val="007A7AA8"/>
    <w:rsid w:val="007B600E"/>
    <w:rsid w:val="007C7DB2"/>
    <w:rsid w:val="007F0F4A"/>
    <w:rsid w:val="007F3BEC"/>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556F"/>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333CD"/>
    <w:rsid w:val="00C41F2A"/>
    <w:rsid w:val="00C45231"/>
    <w:rsid w:val="00C72833"/>
    <w:rsid w:val="00C80F1D"/>
    <w:rsid w:val="00C93F40"/>
    <w:rsid w:val="00CA3D0C"/>
    <w:rsid w:val="00CB0749"/>
    <w:rsid w:val="00CC4BC3"/>
    <w:rsid w:val="00CD2E3D"/>
    <w:rsid w:val="00D12A57"/>
    <w:rsid w:val="00D24228"/>
    <w:rsid w:val="00D544DE"/>
    <w:rsid w:val="00D57972"/>
    <w:rsid w:val="00D6196C"/>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160A"/>
    <w:rsid w:val="00E82959"/>
    <w:rsid w:val="00EA15B0"/>
    <w:rsid w:val="00EA5EA7"/>
    <w:rsid w:val="00EC4A25"/>
    <w:rsid w:val="00EF13CA"/>
    <w:rsid w:val="00F025A2"/>
    <w:rsid w:val="00F04712"/>
    <w:rsid w:val="00F07D1B"/>
    <w:rsid w:val="00F11E2C"/>
    <w:rsid w:val="00F13360"/>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403DF"/>
    <w:rsid w:val="0106663B"/>
    <w:rsid w:val="01105490"/>
    <w:rsid w:val="011629BA"/>
    <w:rsid w:val="01256C52"/>
    <w:rsid w:val="01295F0D"/>
    <w:rsid w:val="013164AC"/>
    <w:rsid w:val="013D472E"/>
    <w:rsid w:val="01406A1E"/>
    <w:rsid w:val="01410DC2"/>
    <w:rsid w:val="01536085"/>
    <w:rsid w:val="0158163D"/>
    <w:rsid w:val="015A322D"/>
    <w:rsid w:val="015E2EBD"/>
    <w:rsid w:val="016067B5"/>
    <w:rsid w:val="01607FCF"/>
    <w:rsid w:val="01652E48"/>
    <w:rsid w:val="01726FEF"/>
    <w:rsid w:val="017A38C2"/>
    <w:rsid w:val="017E2E02"/>
    <w:rsid w:val="018F1743"/>
    <w:rsid w:val="018F25C8"/>
    <w:rsid w:val="01906A5B"/>
    <w:rsid w:val="01907C39"/>
    <w:rsid w:val="01A338EB"/>
    <w:rsid w:val="01B9477C"/>
    <w:rsid w:val="01BC14B7"/>
    <w:rsid w:val="01DC3E46"/>
    <w:rsid w:val="01E70C97"/>
    <w:rsid w:val="01EA15CF"/>
    <w:rsid w:val="01FE3350"/>
    <w:rsid w:val="01FE6BD3"/>
    <w:rsid w:val="01FF0DD2"/>
    <w:rsid w:val="021D3C93"/>
    <w:rsid w:val="021D532B"/>
    <w:rsid w:val="021F7108"/>
    <w:rsid w:val="0222563C"/>
    <w:rsid w:val="02262316"/>
    <w:rsid w:val="02336E0C"/>
    <w:rsid w:val="02402E7C"/>
    <w:rsid w:val="02490A5B"/>
    <w:rsid w:val="02505886"/>
    <w:rsid w:val="025F388A"/>
    <w:rsid w:val="02762F34"/>
    <w:rsid w:val="027D6F46"/>
    <w:rsid w:val="028832B4"/>
    <w:rsid w:val="028C5156"/>
    <w:rsid w:val="029011A2"/>
    <w:rsid w:val="029D79D6"/>
    <w:rsid w:val="02A03627"/>
    <w:rsid w:val="02A53D0A"/>
    <w:rsid w:val="02AD5B62"/>
    <w:rsid w:val="02B45E6F"/>
    <w:rsid w:val="02BB608A"/>
    <w:rsid w:val="02C90DA7"/>
    <w:rsid w:val="02C94C08"/>
    <w:rsid w:val="02CB7221"/>
    <w:rsid w:val="02DB4554"/>
    <w:rsid w:val="02DC07C0"/>
    <w:rsid w:val="02E845D2"/>
    <w:rsid w:val="02EA0864"/>
    <w:rsid w:val="02EC4357"/>
    <w:rsid w:val="02EE768C"/>
    <w:rsid w:val="02F3657B"/>
    <w:rsid w:val="02F54E55"/>
    <w:rsid w:val="02FA1082"/>
    <w:rsid w:val="031778E0"/>
    <w:rsid w:val="031B60F3"/>
    <w:rsid w:val="03207FB0"/>
    <w:rsid w:val="0325790F"/>
    <w:rsid w:val="0327096F"/>
    <w:rsid w:val="0328107B"/>
    <w:rsid w:val="032A315A"/>
    <w:rsid w:val="034623EE"/>
    <w:rsid w:val="03481CC2"/>
    <w:rsid w:val="034E163D"/>
    <w:rsid w:val="03522204"/>
    <w:rsid w:val="03527594"/>
    <w:rsid w:val="0356048A"/>
    <w:rsid w:val="0359140E"/>
    <w:rsid w:val="03631D1E"/>
    <w:rsid w:val="036A3182"/>
    <w:rsid w:val="036C534C"/>
    <w:rsid w:val="03716AB5"/>
    <w:rsid w:val="038346FC"/>
    <w:rsid w:val="039A1E78"/>
    <w:rsid w:val="03A3177A"/>
    <w:rsid w:val="03BB74D8"/>
    <w:rsid w:val="03BF3D9F"/>
    <w:rsid w:val="03C5454F"/>
    <w:rsid w:val="03C6222F"/>
    <w:rsid w:val="03C80AD2"/>
    <w:rsid w:val="03C95263"/>
    <w:rsid w:val="03E34941"/>
    <w:rsid w:val="03E4716B"/>
    <w:rsid w:val="03EE42AA"/>
    <w:rsid w:val="03F0584F"/>
    <w:rsid w:val="03F31292"/>
    <w:rsid w:val="03FA7E60"/>
    <w:rsid w:val="03FB5627"/>
    <w:rsid w:val="04076F95"/>
    <w:rsid w:val="041C6F4E"/>
    <w:rsid w:val="04242812"/>
    <w:rsid w:val="042736AF"/>
    <w:rsid w:val="04333E3D"/>
    <w:rsid w:val="04335C8F"/>
    <w:rsid w:val="04383CC9"/>
    <w:rsid w:val="04421BA4"/>
    <w:rsid w:val="044B12E0"/>
    <w:rsid w:val="045D4134"/>
    <w:rsid w:val="045E7BF6"/>
    <w:rsid w:val="046301A2"/>
    <w:rsid w:val="046A0693"/>
    <w:rsid w:val="04732FB8"/>
    <w:rsid w:val="04734D94"/>
    <w:rsid w:val="047D2013"/>
    <w:rsid w:val="04871DE8"/>
    <w:rsid w:val="048A3516"/>
    <w:rsid w:val="048F6485"/>
    <w:rsid w:val="0493460E"/>
    <w:rsid w:val="04976897"/>
    <w:rsid w:val="049A781C"/>
    <w:rsid w:val="049F5EA2"/>
    <w:rsid w:val="04A12403"/>
    <w:rsid w:val="04A815F7"/>
    <w:rsid w:val="04AD06A4"/>
    <w:rsid w:val="04B8484E"/>
    <w:rsid w:val="04BD1E3A"/>
    <w:rsid w:val="04BF0955"/>
    <w:rsid w:val="04C94AE8"/>
    <w:rsid w:val="04D9520B"/>
    <w:rsid w:val="04E04910"/>
    <w:rsid w:val="04E24CCF"/>
    <w:rsid w:val="04E74098"/>
    <w:rsid w:val="04F0022B"/>
    <w:rsid w:val="04F31581"/>
    <w:rsid w:val="04FF4FC2"/>
    <w:rsid w:val="050C7718"/>
    <w:rsid w:val="05123361"/>
    <w:rsid w:val="05176C7C"/>
    <w:rsid w:val="051B32BC"/>
    <w:rsid w:val="05214F03"/>
    <w:rsid w:val="053960A1"/>
    <w:rsid w:val="055211C9"/>
    <w:rsid w:val="055E02FB"/>
    <w:rsid w:val="056A21A3"/>
    <w:rsid w:val="056A3BE2"/>
    <w:rsid w:val="056E3A92"/>
    <w:rsid w:val="056E58FB"/>
    <w:rsid w:val="05781409"/>
    <w:rsid w:val="057E488D"/>
    <w:rsid w:val="059341B1"/>
    <w:rsid w:val="05952F37"/>
    <w:rsid w:val="05AE2916"/>
    <w:rsid w:val="05B1379B"/>
    <w:rsid w:val="05C45AF2"/>
    <w:rsid w:val="05C6466C"/>
    <w:rsid w:val="05C66F89"/>
    <w:rsid w:val="05D14551"/>
    <w:rsid w:val="05DB67C3"/>
    <w:rsid w:val="05E83B63"/>
    <w:rsid w:val="05EB00C3"/>
    <w:rsid w:val="05EB3658"/>
    <w:rsid w:val="05EC4912"/>
    <w:rsid w:val="05F02736"/>
    <w:rsid w:val="05F7145D"/>
    <w:rsid w:val="05FF4B65"/>
    <w:rsid w:val="06026AB1"/>
    <w:rsid w:val="060422D9"/>
    <w:rsid w:val="060D0D66"/>
    <w:rsid w:val="06182975"/>
    <w:rsid w:val="062C2061"/>
    <w:rsid w:val="06311BAC"/>
    <w:rsid w:val="064552D9"/>
    <w:rsid w:val="065C7CD3"/>
    <w:rsid w:val="06697A01"/>
    <w:rsid w:val="06721621"/>
    <w:rsid w:val="06747567"/>
    <w:rsid w:val="06792756"/>
    <w:rsid w:val="067B4559"/>
    <w:rsid w:val="067C67DB"/>
    <w:rsid w:val="068158A4"/>
    <w:rsid w:val="06871A9A"/>
    <w:rsid w:val="06927957"/>
    <w:rsid w:val="069E2EF0"/>
    <w:rsid w:val="06A806B6"/>
    <w:rsid w:val="06AB2A7F"/>
    <w:rsid w:val="06AD3A04"/>
    <w:rsid w:val="06B135FD"/>
    <w:rsid w:val="06BB7ADE"/>
    <w:rsid w:val="06C55827"/>
    <w:rsid w:val="06C632A9"/>
    <w:rsid w:val="06C82223"/>
    <w:rsid w:val="06CD3A92"/>
    <w:rsid w:val="06D118CA"/>
    <w:rsid w:val="06DA6D83"/>
    <w:rsid w:val="06E73497"/>
    <w:rsid w:val="06FB066E"/>
    <w:rsid w:val="07007517"/>
    <w:rsid w:val="07036839"/>
    <w:rsid w:val="07073FA3"/>
    <w:rsid w:val="07090C52"/>
    <w:rsid w:val="070A2A99"/>
    <w:rsid w:val="071073F0"/>
    <w:rsid w:val="07192D6A"/>
    <w:rsid w:val="07256B46"/>
    <w:rsid w:val="07262AE1"/>
    <w:rsid w:val="072F7FC6"/>
    <w:rsid w:val="0732584E"/>
    <w:rsid w:val="07391593"/>
    <w:rsid w:val="073A1069"/>
    <w:rsid w:val="07426ACB"/>
    <w:rsid w:val="0743639D"/>
    <w:rsid w:val="075A7EF6"/>
    <w:rsid w:val="075C321E"/>
    <w:rsid w:val="07600F9E"/>
    <w:rsid w:val="076202A2"/>
    <w:rsid w:val="076A2A73"/>
    <w:rsid w:val="076A5618"/>
    <w:rsid w:val="077324C8"/>
    <w:rsid w:val="07754CC8"/>
    <w:rsid w:val="07774C5C"/>
    <w:rsid w:val="0782145E"/>
    <w:rsid w:val="07871169"/>
    <w:rsid w:val="07876E2F"/>
    <w:rsid w:val="078912E4"/>
    <w:rsid w:val="07961D7F"/>
    <w:rsid w:val="079B2021"/>
    <w:rsid w:val="07AE506C"/>
    <w:rsid w:val="07B54B15"/>
    <w:rsid w:val="07BC23FD"/>
    <w:rsid w:val="07C22AAD"/>
    <w:rsid w:val="07C3764D"/>
    <w:rsid w:val="07CC63DA"/>
    <w:rsid w:val="07CD53DA"/>
    <w:rsid w:val="07D7113E"/>
    <w:rsid w:val="07F6399B"/>
    <w:rsid w:val="07F66AC5"/>
    <w:rsid w:val="07F82721"/>
    <w:rsid w:val="07F901A3"/>
    <w:rsid w:val="080D5D7E"/>
    <w:rsid w:val="080F038F"/>
    <w:rsid w:val="08154250"/>
    <w:rsid w:val="081751D4"/>
    <w:rsid w:val="082D248C"/>
    <w:rsid w:val="0833764C"/>
    <w:rsid w:val="083A0C0C"/>
    <w:rsid w:val="08407581"/>
    <w:rsid w:val="084677D5"/>
    <w:rsid w:val="0848005E"/>
    <w:rsid w:val="084B1A9E"/>
    <w:rsid w:val="084C657D"/>
    <w:rsid w:val="084D12F0"/>
    <w:rsid w:val="08577669"/>
    <w:rsid w:val="086B208F"/>
    <w:rsid w:val="087029A6"/>
    <w:rsid w:val="08765120"/>
    <w:rsid w:val="087B6B61"/>
    <w:rsid w:val="087E40F9"/>
    <w:rsid w:val="087F5E7D"/>
    <w:rsid w:val="0885360A"/>
    <w:rsid w:val="08887A18"/>
    <w:rsid w:val="08916AA8"/>
    <w:rsid w:val="08922920"/>
    <w:rsid w:val="08923B7D"/>
    <w:rsid w:val="08986A27"/>
    <w:rsid w:val="089C4F70"/>
    <w:rsid w:val="089F664F"/>
    <w:rsid w:val="08A203F3"/>
    <w:rsid w:val="08A925AE"/>
    <w:rsid w:val="08AB2124"/>
    <w:rsid w:val="08AF00C1"/>
    <w:rsid w:val="08B06CCA"/>
    <w:rsid w:val="08B531C0"/>
    <w:rsid w:val="08BB1078"/>
    <w:rsid w:val="08BD1F16"/>
    <w:rsid w:val="08C0252E"/>
    <w:rsid w:val="08C168E9"/>
    <w:rsid w:val="08C21DEA"/>
    <w:rsid w:val="08C31339"/>
    <w:rsid w:val="08C95BAB"/>
    <w:rsid w:val="08CD401D"/>
    <w:rsid w:val="08D53034"/>
    <w:rsid w:val="08DA28B3"/>
    <w:rsid w:val="08DD2BEF"/>
    <w:rsid w:val="08E96C0E"/>
    <w:rsid w:val="08EF562D"/>
    <w:rsid w:val="08F203BB"/>
    <w:rsid w:val="08FF0843"/>
    <w:rsid w:val="0903652D"/>
    <w:rsid w:val="090556C6"/>
    <w:rsid w:val="09104DCD"/>
    <w:rsid w:val="091555E6"/>
    <w:rsid w:val="0919607C"/>
    <w:rsid w:val="091A5CFC"/>
    <w:rsid w:val="091A5ED7"/>
    <w:rsid w:val="091F2183"/>
    <w:rsid w:val="09215687"/>
    <w:rsid w:val="09226210"/>
    <w:rsid w:val="09276AEB"/>
    <w:rsid w:val="092F499C"/>
    <w:rsid w:val="09335E2F"/>
    <w:rsid w:val="093978DE"/>
    <w:rsid w:val="094C40B4"/>
    <w:rsid w:val="09575B61"/>
    <w:rsid w:val="09604EF4"/>
    <w:rsid w:val="09606948"/>
    <w:rsid w:val="096668D7"/>
    <w:rsid w:val="096E0D4F"/>
    <w:rsid w:val="09736AE0"/>
    <w:rsid w:val="098573A1"/>
    <w:rsid w:val="09874980"/>
    <w:rsid w:val="098C4D36"/>
    <w:rsid w:val="09A45C60"/>
    <w:rsid w:val="09CB3595"/>
    <w:rsid w:val="09DC3C1F"/>
    <w:rsid w:val="09E30E5D"/>
    <w:rsid w:val="09F04A5A"/>
    <w:rsid w:val="09F331B4"/>
    <w:rsid w:val="0A101B49"/>
    <w:rsid w:val="0A1364A3"/>
    <w:rsid w:val="0A143BE1"/>
    <w:rsid w:val="0A1B1271"/>
    <w:rsid w:val="0A2638DB"/>
    <w:rsid w:val="0A286DFB"/>
    <w:rsid w:val="0A3010C7"/>
    <w:rsid w:val="0A4856E0"/>
    <w:rsid w:val="0A4A2677"/>
    <w:rsid w:val="0A4D3E03"/>
    <w:rsid w:val="0A5164D1"/>
    <w:rsid w:val="0A550568"/>
    <w:rsid w:val="0A617D3D"/>
    <w:rsid w:val="0A6A2009"/>
    <w:rsid w:val="0A6C43DE"/>
    <w:rsid w:val="0A79652B"/>
    <w:rsid w:val="0A8452CE"/>
    <w:rsid w:val="0A871A41"/>
    <w:rsid w:val="0A8C0317"/>
    <w:rsid w:val="0A8E0068"/>
    <w:rsid w:val="0A971D70"/>
    <w:rsid w:val="0ABC02E8"/>
    <w:rsid w:val="0AC16484"/>
    <w:rsid w:val="0AC72CD7"/>
    <w:rsid w:val="0AC75762"/>
    <w:rsid w:val="0ACB2015"/>
    <w:rsid w:val="0AD20D5E"/>
    <w:rsid w:val="0AD555AC"/>
    <w:rsid w:val="0AED24FC"/>
    <w:rsid w:val="0B004643"/>
    <w:rsid w:val="0B0444E5"/>
    <w:rsid w:val="0B0C593E"/>
    <w:rsid w:val="0B0C64AC"/>
    <w:rsid w:val="0B0E7430"/>
    <w:rsid w:val="0B0F4A80"/>
    <w:rsid w:val="0B147818"/>
    <w:rsid w:val="0B1B1997"/>
    <w:rsid w:val="0B1F76CB"/>
    <w:rsid w:val="0B24532C"/>
    <w:rsid w:val="0B290995"/>
    <w:rsid w:val="0B2E7CE5"/>
    <w:rsid w:val="0B38504B"/>
    <w:rsid w:val="0B3A1579"/>
    <w:rsid w:val="0B3F6621"/>
    <w:rsid w:val="0B433002"/>
    <w:rsid w:val="0B4D2A88"/>
    <w:rsid w:val="0B527B25"/>
    <w:rsid w:val="0B565626"/>
    <w:rsid w:val="0B5E0983"/>
    <w:rsid w:val="0B601F67"/>
    <w:rsid w:val="0B6251C3"/>
    <w:rsid w:val="0B626EBA"/>
    <w:rsid w:val="0B6A3337"/>
    <w:rsid w:val="0B6A4840"/>
    <w:rsid w:val="0B707256"/>
    <w:rsid w:val="0B7129F9"/>
    <w:rsid w:val="0B7174D5"/>
    <w:rsid w:val="0B744B6D"/>
    <w:rsid w:val="0B770D72"/>
    <w:rsid w:val="0B7C0AD7"/>
    <w:rsid w:val="0B7E60C9"/>
    <w:rsid w:val="0B8730CC"/>
    <w:rsid w:val="0B8A60C6"/>
    <w:rsid w:val="0B8B007F"/>
    <w:rsid w:val="0B8D7CFF"/>
    <w:rsid w:val="0B927AF3"/>
    <w:rsid w:val="0B942F0D"/>
    <w:rsid w:val="0BA00262"/>
    <w:rsid w:val="0BA069F6"/>
    <w:rsid w:val="0BA92341"/>
    <w:rsid w:val="0BB27E10"/>
    <w:rsid w:val="0BB6397D"/>
    <w:rsid w:val="0BB77FDE"/>
    <w:rsid w:val="0BB856CB"/>
    <w:rsid w:val="0BC45C5A"/>
    <w:rsid w:val="0BC82D04"/>
    <w:rsid w:val="0BC8723D"/>
    <w:rsid w:val="0BCE3FEB"/>
    <w:rsid w:val="0BD16DAE"/>
    <w:rsid w:val="0BE05B3D"/>
    <w:rsid w:val="0BE12940"/>
    <w:rsid w:val="0BEF4F2C"/>
    <w:rsid w:val="0BF03462"/>
    <w:rsid w:val="0BF56721"/>
    <w:rsid w:val="0BF91564"/>
    <w:rsid w:val="0C020FC2"/>
    <w:rsid w:val="0C0D4366"/>
    <w:rsid w:val="0C12406A"/>
    <w:rsid w:val="0C1B5A9E"/>
    <w:rsid w:val="0C226DB2"/>
    <w:rsid w:val="0C2B4C6E"/>
    <w:rsid w:val="0C351552"/>
    <w:rsid w:val="0C451165"/>
    <w:rsid w:val="0C5032C0"/>
    <w:rsid w:val="0C5161F8"/>
    <w:rsid w:val="0C52360D"/>
    <w:rsid w:val="0C5B51E5"/>
    <w:rsid w:val="0C721B20"/>
    <w:rsid w:val="0C7B2063"/>
    <w:rsid w:val="0C7C1976"/>
    <w:rsid w:val="0C863D2C"/>
    <w:rsid w:val="0C886C9D"/>
    <w:rsid w:val="0CA773B3"/>
    <w:rsid w:val="0CAC6DE2"/>
    <w:rsid w:val="0CBA5E3E"/>
    <w:rsid w:val="0CC54F61"/>
    <w:rsid w:val="0CCB3B11"/>
    <w:rsid w:val="0CD21DF6"/>
    <w:rsid w:val="0CD55207"/>
    <w:rsid w:val="0CD82F88"/>
    <w:rsid w:val="0CDE55BC"/>
    <w:rsid w:val="0CDF3914"/>
    <w:rsid w:val="0CEA0AED"/>
    <w:rsid w:val="0CEA2CF7"/>
    <w:rsid w:val="0CF053C7"/>
    <w:rsid w:val="0CF377F7"/>
    <w:rsid w:val="0CF51457"/>
    <w:rsid w:val="0D035130"/>
    <w:rsid w:val="0D222892"/>
    <w:rsid w:val="0D225E27"/>
    <w:rsid w:val="0D23336E"/>
    <w:rsid w:val="0D257E20"/>
    <w:rsid w:val="0D284B82"/>
    <w:rsid w:val="0D292FA3"/>
    <w:rsid w:val="0D2E60EE"/>
    <w:rsid w:val="0D3A5239"/>
    <w:rsid w:val="0D3A7039"/>
    <w:rsid w:val="0D415F82"/>
    <w:rsid w:val="0D4356A8"/>
    <w:rsid w:val="0D502BB6"/>
    <w:rsid w:val="0D5B0F8B"/>
    <w:rsid w:val="0D635706"/>
    <w:rsid w:val="0D6D5450"/>
    <w:rsid w:val="0D716C1A"/>
    <w:rsid w:val="0D750EA4"/>
    <w:rsid w:val="0D766925"/>
    <w:rsid w:val="0D767C8F"/>
    <w:rsid w:val="0D7A31E2"/>
    <w:rsid w:val="0D7F602A"/>
    <w:rsid w:val="0D8735F9"/>
    <w:rsid w:val="0D8972A3"/>
    <w:rsid w:val="0D8E2BDA"/>
    <w:rsid w:val="0D94436C"/>
    <w:rsid w:val="0D980C13"/>
    <w:rsid w:val="0DAF4909"/>
    <w:rsid w:val="0DB607B8"/>
    <w:rsid w:val="0DBF30CC"/>
    <w:rsid w:val="0DC22600"/>
    <w:rsid w:val="0DC51AC4"/>
    <w:rsid w:val="0DC63EF2"/>
    <w:rsid w:val="0DCA7BBB"/>
    <w:rsid w:val="0DD75C5E"/>
    <w:rsid w:val="0DD806E1"/>
    <w:rsid w:val="0DD9749D"/>
    <w:rsid w:val="0DE51158"/>
    <w:rsid w:val="0DE67813"/>
    <w:rsid w:val="0DE9579A"/>
    <w:rsid w:val="0DF33CF1"/>
    <w:rsid w:val="0DF843DB"/>
    <w:rsid w:val="0DFA693B"/>
    <w:rsid w:val="0DFC7303"/>
    <w:rsid w:val="0DFF4B13"/>
    <w:rsid w:val="0E093416"/>
    <w:rsid w:val="0E0C3DDC"/>
    <w:rsid w:val="0E3756DF"/>
    <w:rsid w:val="0E3C6626"/>
    <w:rsid w:val="0E3D2E6B"/>
    <w:rsid w:val="0E402695"/>
    <w:rsid w:val="0E594720"/>
    <w:rsid w:val="0E5D33A0"/>
    <w:rsid w:val="0E6B26B6"/>
    <w:rsid w:val="0E6B4543"/>
    <w:rsid w:val="0E777792"/>
    <w:rsid w:val="0E7A2CD0"/>
    <w:rsid w:val="0E7B1FCA"/>
    <w:rsid w:val="0E7E7158"/>
    <w:rsid w:val="0E85325F"/>
    <w:rsid w:val="0E85611D"/>
    <w:rsid w:val="0E880E39"/>
    <w:rsid w:val="0E904E74"/>
    <w:rsid w:val="0E995783"/>
    <w:rsid w:val="0E9D025B"/>
    <w:rsid w:val="0EA8225F"/>
    <w:rsid w:val="0EA87B9E"/>
    <w:rsid w:val="0EBC11BB"/>
    <w:rsid w:val="0EBF433E"/>
    <w:rsid w:val="0EC927BE"/>
    <w:rsid w:val="0ECA2E90"/>
    <w:rsid w:val="0ED01837"/>
    <w:rsid w:val="0ED12131"/>
    <w:rsid w:val="0ED33A29"/>
    <w:rsid w:val="0EDF0476"/>
    <w:rsid w:val="0EE15B77"/>
    <w:rsid w:val="0EF3650F"/>
    <w:rsid w:val="0EF7535A"/>
    <w:rsid w:val="0EF96AAD"/>
    <w:rsid w:val="0EF97174"/>
    <w:rsid w:val="0EFD2E1E"/>
    <w:rsid w:val="0F0260AC"/>
    <w:rsid w:val="0F0F3D45"/>
    <w:rsid w:val="0F1C6C56"/>
    <w:rsid w:val="0F2550AA"/>
    <w:rsid w:val="0F37502D"/>
    <w:rsid w:val="0F3A116B"/>
    <w:rsid w:val="0F48005B"/>
    <w:rsid w:val="0F4B2361"/>
    <w:rsid w:val="0F511411"/>
    <w:rsid w:val="0F5D6236"/>
    <w:rsid w:val="0F703346"/>
    <w:rsid w:val="0F704FC5"/>
    <w:rsid w:val="0F7066E0"/>
    <w:rsid w:val="0F7B24F3"/>
    <w:rsid w:val="0F80004E"/>
    <w:rsid w:val="0F8640DB"/>
    <w:rsid w:val="0F871EAB"/>
    <w:rsid w:val="0F8D4823"/>
    <w:rsid w:val="0F9022FF"/>
    <w:rsid w:val="0F9F1528"/>
    <w:rsid w:val="0FAB700A"/>
    <w:rsid w:val="0FC03992"/>
    <w:rsid w:val="0FC96267"/>
    <w:rsid w:val="0FD51005"/>
    <w:rsid w:val="0FDB5D8F"/>
    <w:rsid w:val="0FDF5A14"/>
    <w:rsid w:val="0FE30C1D"/>
    <w:rsid w:val="0FF4473B"/>
    <w:rsid w:val="0FF6413E"/>
    <w:rsid w:val="10053781"/>
    <w:rsid w:val="1008703A"/>
    <w:rsid w:val="100F718A"/>
    <w:rsid w:val="10126FBC"/>
    <w:rsid w:val="101420A5"/>
    <w:rsid w:val="10213C41"/>
    <w:rsid w:val="10295C4D"/>
    <w:rsid w:val="10297193"/>
    <w:rsid w:val="10345524"/>
    <w:rsid w:val="103809FF"/>
    <w:rsid w:val="103B4DE8"/>
    <w:rsid w:val="104344BA"/>
    <w:rsid w:val="1046543F"/>
    <w:rsid w:val="10580BDC"/>
    <w:rsid w:val="105B1B61"/>
    <w:rsid w:val="10600639"/>
    <w:rsid w:val="106C2409"/>
    <w:rsid w:val="10755F8E"/>
    <w:rsid w:val="10756CA8"/>
    <w:rsid w:val="10764104"/>
    <w:rsid w:val="10816F43"/>
    <w:rsid w:val="10861AAB"/>
    <w:rsid w:val="10894C2E"/>
    <w:rsid w:val="108B6D7B"/>
    <w:rsid w:val="108D3635"/>
    <w:rsid w:val="108F3E01"/>
    <w:rsid w:val="1096068D"/>
    <w:rsid w:val="10B951CF"/>
    <w:rsid w:val="10BB3068"/>
    <w:rsid w:val="10CB0F1B"/>
    <w:rsid w:val="10D82C05"/>
    <w:rsid w:val="10F81694"/>
    <w:rsid w:val="10F945B2"/>
    <w:rsid w:val="10FF14AA"/>
    <w:rsid w:val="10FF266F"/>
    <w:rsid w:val="11061C8F"/>
    <w:rsid w:val="110E3EB6"/>
    <w:rsid w:val="11131D94"/>
    <w:rsid w:val="11137DE4"/>
    <w:rsid w:val="11144257"/>
    <w:rsid w:val="111778A8"/>
    <w:rsid w:val="111E4B32"/>
    <w:rsid w:val="1122192A"/>
    <w:rsid w:val="112315AA"/>
    <w:rsid w:val="1124277B"/>
    <w:rsid w:val="112A1125"/>
    <w:rsid w:val="112A3725"/>
    <w:rsid w:val="112C7D69"/>
    <w:rsid w:val="11437C6C"/>
    <w:rsid w:val="11454527"/>
    <w:rsid w:val="114731E5"/>
    <w:rsid w:val="11526A96"/>
    <w:rsid w:val="11617971"/>
    <w:rsid w:val="11622F64"/>
    <w:rsid w:val="116F4939"/>
    <w:rsid w:val="11846297"/>
    <w:rsid w:val="118660F9"/>
    <w:rsid w:val="11887CC9"/>
    <w:rsid w:val="118A7219"/>
    <w:rsid w:val="11922EE2"/>
    <w:rsid w:val="11A2517F"/>
    <w:rsid w:val="11A4040E"/>
    <w:rsid w:val="11AC730F"/>
    <w:rsid w:val="11AD4D58"/>
    <w:rsid w:val="11AE6F8F"/>
    <w:rsid w:val="11B13797"/>
    <w:rsid w:val="11B67206"/>
    <w:rsid w:val="11BA4661"/>
    <w:rsid w:val="11BA6A1A"/>
    <w:rsid w:val="11BC7F56"/>
    <w:rsid w:val="11BF1687"/>
    <w:rsid w:val="11C05545"/>
    <w:rsid w:val="11C70182"/>
    <w:rsid w:val="11E12C61"/>
    <w:rsid w:val="11E411C4"/>
    <w:rsid w:val="11E43DA7"/>
    <w:rsid w:val="11EA0679"/>
    <w:rsid w:val="11EB6DF4"/>
    <w:rsid w:val="11EE75FC"/>
    <w:rsid w:val="11FA0A55"/>
    <w:rsid w:val="11FA2349"/>
    <w:rsid w:val="12044AB3"/>
    <w:rsid w:val="120E02AD"/>
    <w:rsid w:val="12117034"/>
    <w:rsid w:val="12124AB5"/>
    <w:rsid w:val="121F3DCB"/>
    <w:rsid w:val="122E2D61"/>
    <w:rsid w:val="12342A01"/>
    <w:rsid w:val="123B6C22"/>
    <w:rsid w:val="123F0141"/>
    <w:rsid w:val="123F12C9"/>
    <w:rsid w:val="12427803"/>
    <w:rsid w:val="124531FE"/>
    <w:rsid w:val="12496F44"/>
    <w:rsid w:val="12533BE9"/>
    <w:rsid w:val="125C03AD"/>
    <w:rsid w:val="126548EE"/>
    <w:rsid w:val="126715DD"/>
    <w:rsid w:val="12672AB8"/>
    <w:rsid w:val="12714ACF"/>
    <w:rsid w:val="12817181"/>
    <w:rsid w:val="12892176"/>
    <w:rsid w:val="12921148"/>
    <w:rsid w:val="1295180B"/>
    <w:rsid w:val="12966407"/>
    <w:rsid w:val="129B1196"/>
    <w:rsid w:val="129E41E5"/>
    <w:rsid w:val="129E6898"/>
    <w:rsid w:val="12A50021"/>
    <w:rsid w:val="12AA4BE9"/>
    <w:rsid w:val="12B20DBB"/>
    <w:rsid w:val="12B40A3B"/>
    <w:rsid w:val="12B47E26"/>
    <w:rsid w:val="12B63AE6"/>
    <w:rsid w:val="12B757B8"/>
    <w:rsid w:val="12C003F7"/>
    <w:rsid w:val="12C7679B"/>
    <w:rsid w:val="12D65CA8"/>
    <w:rsid w:val="12DD774D"/>
    <w:rsid w:val="12DF0986"/>
    <w:rsid w:val="12E20B88"/>
    <w:rsid w:val="12E2190B"/>
    <w:rsid w:val="130265BC"/>
    <w:rsid w:val="130378C1"/>
    <w:rsid w:val="13130905"/>
    <w:rsid w:val="13272F78"/>
    <w:rsid w:val="133D2F1E"/>
    <w:rsid w:val="133E4EC4"/>
    <w:rsid w:val="135C37D3"/>
    <w:rsid w:val="13627948"/>
    <w:rsid w:val="136404F3"/>
    <w:rsid w:val="136818E0"/>
    <w:rsid w:val="137E2663"/>
    <w:rsid w:val="13915834"/>
    <w:rsid w:val="13B043CE"/>
    <w:rsid w:val="13B61E8E"/>
    <w:rsid w:val="13BF21F2"/>
    <w:rsid w:val="13C23A1B"/>
    <w:rsid w:val="13C41752"/>
    <w:rsid w:val="13C72FD3"/>
    <w:rsid w:val="13C76244"/>
    <w:rsid w:val="13C82B02"/>
    <w:rsid w:val="13CF28FB"/>
    <w:rsid w:val="13D057B7"/>
    <w:rsid w:val="13DA7C15"/>
    <w:rsid w:val="13E001A9"/>
    <w:rsid w:val="13E02727"/>
    <w:rsid w:val="13E52432"/>
    <w:rsid w:val="13E904DD"/>
    <w:rsid w:val="13E905BF"/>
    <w:rsid w:val="13EA2C90"/>
    <w:rsid w:val="13EA5E5F"/>
    <w:rsid w:val="13F83651"/>
    <w:rsid w:val="14052967"/>
    <w:rsid w:val="14054F72"/>
    <w:rsid w:val="140F27D6"/>
    <w:rsid w:val="14107AE9"/>
    <w:rsid w:val="14155180"/>
    <w:rsid w:val="14175E0A"/>
    <w:rsid w:val="141C258C"/>
    <w:rsid w:val="141E1102"/>
    <w:rsid w:val="141F1BA5"/>
    <w:rsid w:val="142007B3"/>
    <w:rsid w:val="14216A14"/>
    <w:rsid w:val="1423579A"/>
    <w:rsid w:val="14254028"/>
    <w:rsid w:val="142658CF"/>
    <w:rsid w:val="142A2204"/>
    <w:rsid w:val="143F2CAE"/>
    <w:rsid w:val="14461DA9"/>
    <w:rsid w:val="144B6FBB"/>
    <w:rsid w:val="1451723E"/>
    <w:rsid w:val="14634805"/>
    <w:rsid w:val="146A14F7"/>
    <w:rsid w:val="1472255F"/>
    <w:rsid w:val="147719A1"/>
    <w:rsid w:val="14782396"/>
    <w:rsid w:val="1479577A"/>
    <w:rsid w:val="147C16AC"/>
    <w:rsid w:val="147E5426"/>
    <w:rsid w:val="148623C8"/>
    <w:rsid w:val="148942E3"/>
    <w:rsid w:val="148B031E"/>
    <w:rsid w:val="148E2DB2"/>
    <w:rsid w:val="14912A67"/>
    <w:rsid w:val="1492597B"/>
    <w:rsid w:val="14927FCC"/>
    <w:rsid w:val="149B6B6A"/>
    <w:rsid w:val="14AC25B0"/>
    <w:rsid w:val="14AE0BED"/>
    <w:rsid w:val="14AF303C"/>
    <w:rsid w:val="14AF4133"/>
    <w:rsid w:val="14BC4717"/>
    <w:rsid w:val="14BE55AD"/>
    <w:rsid w:val="14C355CD"/>
    <w:rsid w:val="14D4220A"/>
    <w:rsid w:val="14E13279"/>
    <w:rsid w:val="14E52CFF"/>
    <w:rsid w:val="14E80346"/>
    <w:rsid w:val="14EC699A"/>
    <w:rsid w:val="14FE2D63"/>
    <w:rsid w:val="1501033F"/>
    <w:rsid w:val="1502113A"/>
    <w:rsid w:val="151308D4"/>
    <w:rsid w:val="151B6ACD"/>
    <w:rsid w:val="1525202B"/>
    <w:rsid w:val="15281376"/>
    <w:rsid w:val="152D5C4C"/>
    <w:rsid w:val="15331F8D"/>
    <w:rsid w:val="15362A23"/>
    <w:rsid w:val="154001A6"/>
    <w:rsid w:val="15422545"/>
    <w:rsid w:val="15435BF2"/>
    <w:rsid w:val="154C6FA7"/>
    <w:rsid w:val="155B339E"/>
    <w:rsid w:val="15636A1F"/>
    <w:rsid w:val="156508EF"/>
    <w:rsid w:val="1568542B"/>
    <w:rsid w:val="15693006"/>
    <w:rsid w:val="156A222E"/>
    <w:rsid w:val="15716A99"/>
    <w:rsid w:val="157177C3"/>
    <w:rsid w:val="1581047E"/>
    <w:rsid w:val="15895642"/>
    <w:rsid w:val="15973994"/>
    <w:rsid w:val="15A444EB"/>
    <w:rsid w:val="15A93017"/>
    <w:rsid w:val="15AC3F9C"/>
    <w:rsid w:val="15B0540D"/>
    <w:rsid w:val="15B10740"/>
    <w:rsid w:val="15B47AB3"/>
    <w:rsid w:val="15B7532E"/>
    <w:rsid w:val="15BB043C"/>
    <w:rsid w:val="15C164C0"/>
    <w:rsid w:val="15C84147"/>
    <w:rsid w:val="15CA017F"/>
    <w:rsid w:val="15D64DE0"/>
    <w:rsid w:val="15D71AD5"/>
    <w:rsid w:val="15DC38C2"/>
    <w:rsid w:val="15E211F7"/>
    <w:rsid w:val="15E33BD2"/>
    <w:rsid w:val="15E40C88"/>
    <w:rsid w:val="15ED5A32"/>
    <w:rsid w:val="15F23B4A"/>
    <w:rsid w:val="15F31439"/>
    <w:rsid w:val="15FC08F6"/>
    <w:rsid w:val="16050CCE"/>
    <w:rsid w:val="160B706E"/>
    <w:rsid w:val="160F4041"/>
    <w:rsid w:val="16175D54"/>
    <w:rsid w:val="162503E3"/>
    <w:rsid w:val="162B4831"/>
    <w:rsid w:val="163D5A89"/>
    <w:rsid w:val="1646133C"/>
    <w:rsid w:val="165752E8"/>
    <w:rsid w:val="16591B36"/>
    <w:rsid w:val="165931D9"/>
    <w:rsid w:val="16635CC9"/>
    <w:rsid w:val="16682D3E"/>
    <w:rsid w:val="167046E9"/>
    <w:rsid w:val="16773DD0"/>
    <w:rsid w:val="167C0DF1"/>
    <w:rsid w:val="167E382D"/>
    <w:rsid w:val="167F379B"/>
    <w:rsid w:val="1680302E"/>
    <w:rsid w:val="168E2390"/>
    <w:rsid w:val="16980722"/>
    <w:rsid w:val="169A04A0"/>
    <w:rsid w:val="169D6A46"/>
    <w:rsid w:val="16A6304D"/>
    <w:rsid w:val="16B46833"/>
    <w:rsid w:val="16D61758"/>
    <w:rsid w:val="16DC0535"/>
    <w:rsid w:val="16DC6ABA"/>
    <w:rsid w:val="16EB272A"/>
    <w:rsid w:val="16EB60B5"/>
    <w:rsid w:val="16EF74E9"/>
    <w:rsid w:val="16F27D5E"/>
    <w:rsid w:val="170716B6"/>
    <w:rsid w:val="1707417F"/>
    <w:rsid w:val="170A3ED8"/>
    <w:rsid w:val="170B78A1"/>
    <w:rsid w:val="170C256E"/>
    <w:rsid w:val="17126D66"/>
    <w:rsid w:val="17165852"/>
    <w:rsid w:val="171C7676"/>
    <w:rsid w:val="17241925"/>
    <w:rsid w:val="1731761B"/>
    <w:rsid w:val="17332ADC"/>
    <w:rsid w:val="173C33C7"/>
    <w:rsid w:val="173D4671"/>
    <w:rsid w:val="173D539D"/>
    <w:rsid w:val="17422706"/>
    <w:rsid w:val="1743129B"/>
    <w:rsid w:val="1748083E"/>
    <w:rsid w:val="174A1E03"/>
    <w:rsid w:val="17547C85"/>
    <w:rsid w:val="17553F9F"/>
    <w:rsid w:val="175623CE"/>
    <w:rsid w:val="176538DA"/>
    <w:rsid w:val="176645F2"/>
    <w:rsid w:val="1779794E"/>
    <w:rsid w:val="178E1F33"/>
    <w:rsid w:val="1794775D"/>
    <w:rsid w:val="17AB10DF"/>
    <w:rsid w:val="17B953F3"/>
    <w:rsid w:val="17C376AD"/>
    <w:rsid w:val="17CB4905"/>
    <w:rsid w:val="17CD749A"/>
    <w:rsid w:val="17CF4183"/>
    <w:rsid w:val="17D01F3A"/>
    <w:rsid w:val="17D46E24"/>
    <w:rsid w:val="17DA01E6"/>
    <w:rsid w:val="17DB3BDE"/>
    <w:rsid w:val="17DB67AF"/>
    <w:rsid w:val="17DC7DAF"/>
    <w:rsid w:val="17DD1CB2"/>
    <w:rsid w:val="17DF40F7"/>
    <w:rsid w:val="17EE0FBD"/>
    <w:rsid w:val="17EF0CD3"/>
    <w:rsid w:val="17F01ECF"/>
    <w:rsid w:val="17F0662B"/>
    <w:rsid w:val="17F86C76"/>
    <w:rsid w:val="18061CD6"/>
    <w:rsid w:val="1809187D"/>
    <w:rsid w:val="180E4FC5"/>
    <w:rsid w:val="18171331"/>
    <w:rsid w:val="18214D25"/>
    <w:rsid w:val="18216E82"/>
    <w:rsid w:val="1824372C"/>
    <w:rsid w:val="18266C2F"/>
    <w:rsid w:val="18396192"/>
    <w:rsid w:val="184A4BE3"/>
    <w:rsid w:val="184A54E3"/>
    <w:rsid w:val="184B4076"/>
    <w:rsid w:val="185060EC"/>
    <w:rsid w:val="1858441B"/>
    <w:rsid w:val="185A42FA"/>
    <w:rsid w:val="185C3885"/>
    <w:rsid w:val="18640C92"/>
    <w:rsid w:val="18717FA7"/>
    <w:rsid w:val="18747CDC"/>
    <w:rsid w:val="187E568C"/>
    <w:rsid w:val="18816044"/>
    <w:rsid w:val="18870C54"/>
    <w:rsid w:val="18882132"/>
    <w:rsid w:val="188F3A75"/>
    <w:rsid w:val="189D2207"/>
    <w:rsid w:val="189F08D1"/>
    <w:rsid w:val="18A43C7A"/>
    <w:rsid w:val="18A45C40"/>
    <w:rsid w:val="18A57A6A"/>
    <w:rsid w:val="18A768A8"/>
    <w:rsid w:val="18B43EE8"/>
    <w:rsid w:val="18B9619D"/>
    <w:rsid w:val="18CF7A5D"/>
    <w:rsid w:val="18D57338"/>
    <w:rsid w:val="18D8074F"/>
    <w:rsid w:val="18DA4154"/>
    <w:rsid w:val="18E21560"/>
    <w:rsid w:val="18E24F5C"/>
    <w:rsid w:val="18E96032"/>
    <w:rsid w:val="18EB61E0"/>
    <w:rsid w:val="18EC15F6"/>
    <w:rsid w:val="18EE62E8"/>
    <w:rsid w:val="18F845CE"/>
    <w:rsid w:val="18F96461"/>
    <w:rsid w:val="190455CA"/>
    <w:rsid w:val="1906629D"/>
    <w:rsid w:val="19116F8E"/>
    <w:rsid w:val="1912188E"/>
    <w:rsid w:val="1914310D"/>
    <w:rsid w:val="191477B1"/>
    <w:rsid w:val="19266C5A"/>
    <w:rsid w:val="19386FF0"/>
    <w:rsid w:val="193C278E"/>
    <w:rsid w:val="19551A74"/>
    <w:rsid w:val="195F7D63"/>
    <w:rsid w:val="19601E2E"/>
    <w:rsid w:val="196926F2"/>
    <w:rsid w:val="196E49C7"/>
    <w:rsid w:val="197C2433"/>
    <w:rsid w:val="198606C0"/>
    <w:rsid w:val="19933139"/>
    <w:rsid w:val="19AC4F46"/>
    <w:rsid w:val="19AE3232"/>
    <w:rsid w:val="19B10934"/>
    <w:rsid w:val="19B81CB1"/>
    <w:rsid w:val="19D57461"/>
    <w:rsid w:val="19E567BF"/>
    <w:rsid w:val="19E74602"/>
    <w:rsid w:val="19E77C80"/>
    <w:rsid w:val="19EA1D92"/>
    <w:rsid w:val="19EE7D0B"/>
    <w:rsid w:val="1A0639B0"/>
    <w:rsid w:val="1A077D86"/>
    <w:rsid w:val="1A081343"/>
    <w:rsid w:val="1A085685"/>
    <w:rsid w:val="1A12477C"/>
    <w:rsid w:val="1A1254D5"/>
    <w:rsid w:val="1A191F3E"/>
    <w:rsid w:val="1A1D5A65"/>
    <w:rsid w:val="1A225770"/>
    <w:rsid w:val="1A2664F0"/>
    <w:rsid w:val="1A2A2B7C"/>
    <w:rsid w:val="1A3B0C79"/>
    <w:rsid w:val="1A4A567E"/>
    <w:rsid w:val="1A4D4035"/>
    <w:rsid w:val="1A5163D6"/>
    <w:rsid w:val="1A54768F"/>
    <w:rsid w:val="1A566EC3"/>
    <w:rsid w:val="1A5A669E"/>
    <w:rsid w:val="1A6A5CDF"/>
    <w:rsid w:val="1A6D2CE0"/>
    <w:rsid w:val="1A79617E"/>
    <w:rsid w:val="1A796C32"/>
    <w:rsid w:val="1A83450F"/>
    <w:rsid w:val="1A8C57B1"/>
    <w:rsid w:val="1A9853AE"/>
    <w:rsid w:val="1A9A4135"/>
    <w:rsid w:val="1A9F5FE5"/>
    <w:rsid w:val="1AB6495E"/>
    <w:rsid w:val="1AB9028C"/>
    <w:rsid w:val="1AC56317"/>
    <w:rsid w:val="1AD471EE"/>
    <w:rsid w:val="1AD6319E"/>
    <w:rsid w:val="1AD73F99"/>
    <w:rsid w:val="1AE5062C"/>
    <w:rsid w:val="1AE71464"/>
    <w:rsid w:val="1B061265"/>
    <w:rsid w:val="1B1378A1"/>
    <w:rsid w:val="1B245DF4"/>
    <w:rsid w:val="1B294C9D"/>
    <w:rsid w:val="1B2B7228"/>
    <w:rsid w:val="1B3F22DB"/>
    <w:rsid w:val="1B4A0A55"/>
    <w:rsid w:val="1B4B06D5"/>
    <w:rsid w:val="1B4B651F"/>
    <w:rsid w:val="1B4C691E"/>
    <w:rsid w:val="1B585C3E"/>
    <w:rsid w:val="1B5C41F3"/>
    <w:rsid w:val="1B777BC9"/>
    <w:rsid w:val="1B7D10D5"/>
    <w:rsid w:val="1B81532C"/>
    <w:rsid w:val="1B8D6B92"/>
    <w:rsid w:val="1B90327A"/>
    <w:rsid w:val="1B936CD6"/>
    <w:rsid w:val="1B9379C1"/>
    <w:rsid w:val="1B990279"/>
    <w:rsid w:val="1B9B4E1C"/>
    <w:rsid w:val="1B9C50E9"/>
    <w:rsid w:val="1BA04CC7"/>
    <w:rsid w:val="1BAA5FDD"/>
    <w:rsid w:val="1BAD4429"/>
    <w:rsid w:val="1BB80557"/>
    <w:rsid w:val="1BBC1606"/>
    <w:rsid w:val="1BBC1F56"/>
    <w:rsid w:val="1BD91A80"/>
    <w:rsid w:val="1BDA02C4"/>
    <w:rsid w:val="1BE641ED"/>
    <w:rsid w:val="1BEE30A8"/>
    <w:rsid w:val="1BF24F3D"/>
    <w:rsid w:val="1BF5780F"/>
    <w:rsid w:val="1BFD5FA2"/>
    <w:rsid w:val="1C083B33"/>
    <w:rsid w:val="1C0B0B13"/>
    <w:rsid w:val="1C17197B"/>
    <w:rsid w:val="1C1D36F1"/>
    <w:rsid w:val="1C291BAA"/>
    <w:rsid w:val="1C3730C8"/>
    <w:rsid w:val="1C386892"/>
    <w:rsid w:val="1C404465"/>
    <w:rsid w:val="1C4A2683"/>
    <w:rsid w:val="1C5043AD"/>
    <w:rsid w:val="1C5A1B35"/>
    <w:rsid w:val="1C5B6314"/>
    <w:rsid w:val="1C5F292D"/>
    <w:rsid w:val="1C5F3B2B"/>
    <w:rsid w:val="1C5F4D1A"/>
    <w:rsid w:val="1C631E26"/>
    <w:rsid w:val="1C6743CB"/>
    <w:rsid w:val="1C7530BF"/>
    <w:rsid w:val="1C833C55"/>
    <w:rsid w:val="1C8A2CF6"/>
    <w:rsid w:val="1C916922"/>
    <w:rsid w:val="1C9A167C"/>
    <w:rsid w:val="1CA5548E"/>
    <w:rsid w:val="1CAC1596"/>
    <w:rsid w:val="1CB42226"/>
    <w:rsid w:val="1CB5685B"/>
    <w:rsid w:val="1CBC5611"/>
    <w:rsid w:val="1CD21DDD"/>
    <w:rsid w:val="1CD22EF6"/>
    <w:rsid w:val="1CD7177C"/>
    <w:rsid w:val="1CE479B7"/>
    <w:rsid w:val="1CF005FD"/>
    <w:rsid w:val="1CF20E5C"/>
    <w:rsid w:val="1CF6531E"/>
    <w:rsid w:val="1CF73467"/>
    <w:rsid w:val="1D072AAC"/>
    <w:rsid w:val="1D0B195E"/>
    <w:rsid w:val="1D243745"/>
    <w:rsid w:val="1D326AA2"/>
    <w:rsid w:val="1D353A79"/>
    <w:rsid w:val="1D3570D5"/>
    <w:rsid w:val="1D3B1205"/>
    <w:rsid w:val="1D4E0EB2"/>
    <w:rsid w:val="1D520E2A"/>
    <w:rsid w:val="1D5F3EE4"/>
    <w:rsid w:val="1D625841"/>
    <w:rsid w:val="1D6567C6"/>
    <w:rsid w:val="1D6934AB"/>
    <w:rsid w:val="1D693FA7"/>
    <w:rsid w:val="1D6C05DE"/>
    <w:rsid w:val="1D7D6636"/>
    <w:rsid w:val="1D7F7370"/>
    <w:rsid w:val="1D8273D4"/>
    <w:rsid w:val="1D8B6A06"/>
    <w:rsid w:val="1D8D0962"/>
    <w:rsid w:val="1D8F4E65"/>
    <w:rsid w:val="1D927CF7"/>
    <w:rsid w:val="1DB553DF"/>
    <w:rsid w:val="1DBF1882"/>
    <w:rsid w:val="1DC24961"/>
    <w:rsid w:val="1DC60DE9"/>
    <w:rsid w:val="1DC70ACB"/>
    <w:rsid w:val="1DCE2972"/>
    <w:rsid w:val="1DD941F6"/>
    <w:rsid w:val="1DF17BE1"/>
    <w:rsid w:val="1DF32B81"/>
    <w:rsid w:val="1DF660B5"/>
    <w:rsid w:val="1DFC1393"/>
    <w:rsid w:val="1E1259E5"/>
    <w:rsid w:val="1E1A0873"/>
    <w:rsid w:val="1E1E39F6"/>
    <w:rsid w:val="1E1F7738"/>
    <w:rsid w:val="1E366767"/>
    <w:rsid w:val="1E4719A3"/>
    <w:rsid w:val="1E4D6F06"/>
    <w:rsid w:val="1E572FAE"/>
    <w:rsid w:val="1E5E2D02"/>
    <w:rsid w:val="1E5F1F97"/>
    <w:rsid w:val="1E685BCF"/>
    <w:rsid w:val="1E6C5F4E"/>
    <w:rsid w:val="1E79668E"/>
    <w:rsid w:val="1E7B685D"/>
    <w:rsid w:val="1E800F1B"/>
    <w:rsid w:val="1E826F9E"/>
    <w:rsid w:val="1E8E1E01"/>
    <w:rsid w:val="1E957FB3"/>
    <w:rsid w:val="1E9D4347"/>
    <w:rsid w:val="1E9E304B"/>
    <w:rsid w:val="1EA65561"/>
    <w:rsid w:val="1EA75ED9"/>
    <w:rsid w:val="1EAD4127"/>
    <w:rsid w:val="1EAE478E"/>
    <w:rsid w:val="1EB41D2D"/>
    <w:rsid w:val="1EB70BD9"/>
    <w:rsid w:val="1EB8797A"/>
    <w:rsid w:val="1EBF418B"/>
    <w:rsid w:val="1EBF505E"/>
    <w:rsid w:val="1EC7640D"/>
    <w:rsid w:val="1EDA6C33"/>
    <w:rsid w:val="1EE6035E"/>
    <w:rsid w:val="1EEB081F"/>
    <w:rsid w:val="1EEC719E"/>
    <w:rsid w:val="1EEF3076"/>
    <w:rsid w:val="1EF7018A"/>
    <w:rsid w:val="1EF93593"/>
    <w:rsid w:val="1EF949F7"/>
    <w:rsid w:val="1F0242AA"/>
    <w:rsid w:val="1F044236"/>
    <w:rsid w:val="1F0E46BB"/>
    <w:rsid w:val="1F16618C"/>
    <w:rsid w:val="1F1A4B93"/>
    <w:rsid w:val="1F2472DD"/>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8232BD"/>
    <w:rsid w:val="1F890898"/>
    <w:rsid w:val="1F8B7303"/>
    <w:rsid w:val="1F8C7450"/>
    <w:rsid w:val="1FAF2E88"/>
    <w:rsid w:val="1FB80942"/>
    <w:rsid w:val="1FBB5482"/>
    <w:rsid w:val="1FC11EA9"/>
    <w:rsid w:val="1FC30E74"/>
    <w:rsid w:val="1FD45A77"/>
    <w:rsid w:val="1FD473C2"/>
    <w:rsid w:val="1FF977BD"/>
    <w:rsid w:val="2001262E"/>
    <w:rsid w:val="2008253C"/>
    <w:rsid w:val="200D64BE"/>
    <w:rsid w:val="20121E5E"/>
    <w:rsid w:val="20153599"/>
    <w:rsid w:val="20172295"/>
    <w:rsid w:val="201B2789"/>
    <w:rsid w:val="20256516"/>
    <w:rsid w:val="20286E13"/>
    <w:rsid w:val="204F4F90"/>
    <w:rsid w:val="20584BED"/>
    <w:rsid w:val="205B68F3"/>
    <w:rsid w:val="20820C62"/>
    <w:rsid w:val="2086199F"/>
    <w:rsid w:val="209A1844"/>
    <w:rsid w:val="20AE287A"/>
    <w:rsid w:val="20CB0AB1"/>
    <w:rsid w:val="20D60AAE"/>
    <w:rsid w:val="20EE5FF8"/>
    <w:rsid w:val="20F215C4"/>
    <w:rsid w:val="20F44A16"/>
    <w:rsid w:val="20FE18CB"/>
    <w:rsid w:val="21061BA2"/>
    <w:rsid w:val="2112512E"/>
    <w:rsid w:val="21155C52"/>
    <w:rsid w:val="2121427E"/>
    <w:rsid w:val="21262CBA"/>
    <w:rsid w:val="212B1C97"/>
    <w:rsid w:val="21323004"/>
    <w:rsid w:val="21361FB5"/>
    <w:rsid w:val="213A5FD8"/>
    <w:rsid w:val="214B3D89"/>
    <w:rsid w:val="214E3823"/>
    <w:rsid w:val="21575426"/>
    <w:rsid w:val="215C1F77"/>
    <w:rsid w:val="216B0BDF"/>
    <w:rsid w:val="2177769E"/>
    <w:rsid w:val="217F3103"/>
    <w:rsid w:val="218019AE"/>
    <w:rsid w:val="218940EF"/>
    <w:rsid w:val="218E620A"/>
    <w:rsid w:val="219A5A3F"/>
    <w:rsid w:val="21AB5CB4"/>
    <w:rsid w:val="21AE7F70"/>
    <w:rsid w:val="21B22658"/>
    <w:rsid w:val="21C565C2"/>
    <w:rsid w:val="21D01C09"/>
    <w:rsid w:val="21D25FF2"/>
    <w:rsid w:val="21D41512"/>
    <w:rsid w:val="21F52495"/>
    <w:rsid w:val="21F70210"/>
    <w:rsid w:val="221D6C29"/>
    <w:rsid w:val="22207409"/>
    <w:rsid w:val="222A0600"/>
    <w:rsid w:val="22344A9E"/>
    <w:rsid w:val="22363269"/>
    <w:rsid w:val="223A3836"/>
    <w:rsid w:val="223C2DAF"/>
    <w:rsid w:val="223D20C7"/>
    <w:rsid w:val="223E2651"/>
    <w:rsid w:val="2248503C"/>
    <w:rsid w:val="224E39C0"/>
    <w:rsid w:val="225F01F3"/>
    <w:rsid w:val="22616311"/>
    <w:rsid w:val="22635774"/>
    <w:rsid w:val="226575C4"/>
    <w:rsid w:val="22682C5C"/>
    <w:rsid w:val="22684417"/>
    <w:rsid w:val="22685C08"/>
    <w:rsid w:val="226D3EEA"/>
    <w:rsid w:val="226E077B"/>
    <w:rsid w:val="22896E39"/>
    <w:rsid w:val="2291610E"/>
    <w:rsid w:val="22923DE9"/>
    <w:rsid w:val="229473C8"/>
    <w:rsid w:val="22956F09"/>
    <w:rsid w:val="22962F20"/>
    <w:rsid w:val="22973417"/>
    <w:rsid w:val="229D5794"/>
    <w:rsid w:val="22A379E2"/>
    <w:rsid w:val="22A85F23"/>
    <w:rsid w:val="22AC647D"/>
    <w:rsid w:val="22BB1BCF"/>
    <w:rsid w:val="22C17DB5"/>
    <w:rsid w:val="22C629AC"/>
    <w:rsid w:val="22DD27AA"/>
    <w:rsid w:val="22DE0AC1"/>
    <w:rsid w:val="22DE2AD5"/>
    <w:rsid w:val="22E84C54"/>
    <w:rsid w:val="22E8790D"/>
    <w:rsid w:val="22E96F92"/>
    <w:rsid w:val="22EB45C5"/>
    <w:rsid w:val="22FE0FF6"/>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786BBE"/>
    <w:rsid w:val="238B3610"/>
    <w:rsid w:val="23921869"/>
    <w:rsid w:val="23943633"/>
    <w:rsid w:val="239F724D"/>
    <w:rsid w:val="23A14082"/>
    <w:rsid w:val="23AB1721"/>
    <w:rsid w:val="23C46955"/>
    <w:rsid w:val="23C579E4"/>
    <w:rsid w:val="23CB3B95"/>
    <w:rsid w:val="23D47D54"/>
    <w:rsid w:val="23D744C2"/>
    <w:rsid w:val="23DB4EDC"/>
    <w:rsid w:val="23DF1969"/>
    <w:rsid w:val="23EF0BE1"/>
    <w:rsid w:val="23FB7BDA"/>
    <w:rsid w:val="24002E5E"/>
    <w:rsid w:val="240366A5"/>
    <w:rsid w:val="240A022E"/>
    <w:rsid w:val="240A3AB2"/>
    <w:rsid w:val="241370E7"/>
    <w:rsid w:val="24184673"/>
    <w:rsid w:val="24202FED"/>
    <w:rsid w:val="242136F5"/>
    <w:rsid w:val="242341FB"/>
    <w:rsid w:val="243A3680"/>
    <w:rsid w:val="2445130D"/>
    <w:rsid w:val="244C451B"/>
    <w:rsid w:val="245A6743"/>
    <w:rsid w:val="246A08B9"/>
    <w:rsid w:val="24754B15"/>
    <w:rsid w:val="247578DE"/>
    <w:rsid w:val="247860CE"/>
    <w:rsid w:val="247B459F"/>
    <w:rsid w:val="247E276B"/>
    <w:rsid w:val="247F64CC"/>
    <w:rsid w:val="24836BF3"/>
    <w:rsid w:val="2484148E"/>
    <w:rsid w:val="248674BE"/>
    <w:rsid w:val="248D420D"/>
    <w:rsid w:val="24921B27"/>
    <w:rsid w:val="24967E12"/>
    <w:rsid w:val="24990D97"/>
    <w:rsid w:val="249E0DC7"/>
    <w:rsid w:val="249E776E"/>
    <w:rsid w:val="24A0121D"/>
    <w:rsid w:val="24AE3BA0"/>
    <w:rsid w:val="24B97631"/>
    <w:rsid w:val="24BD3555"/>
    <w:rsid w:val="24BE6532"/>
    <w:rsid w:val="24C90419"/>
    <w:rsid w:val="24CD087B"/>
    <w:rsid w:val="24E22490"/>
    <w:rsid w:val="24E32289"/>
    <w:rsid w:val="24E9569E"/>
    <w:rsid w:val="24ED1C1E"/>
    <w:rsid w:val="24F0284D"/>
    <w:rsid w:val="24F35105"/>
    <w:rsid w:val="2501142A"/>
    <w:rsid w:val="250C32D4"/>
    <w:rsid w:val="250E20E4"/>
    <w:rsid w:val="25120691"/>
    <w:rsid w:val="25174EE8"/>
    <w:rsid w:val="251A40CA"/>
    <w:rsid w:val="251B38EF"/>
    <w:rsid w:val="25202C91"/>
    <w:rsid w:val="252331A5"/>
    <w:rsid w:val="25255254"/>
    <w:rsid w:val="252733A0"/>
    <w:rsid w:val="252D0D5E"/>
    <w:rsid w:val="25316995"/>
    <w:rsid w:val="25392E9F"/>
    <w:rsid w:val="25425A19"/>
    <w:rsid w:val="25437031"/>
    <w:rsid w:val="25446CB1"/>
    <w:rsid w:val="25490B3E"/>
    <w:rsid w:val="254F0094"/>
    <w:rsid w:val="254F5042"/>
    <w:rsid w:val="255A445E"/>
    <w:rsid w:val="25633CE3"/>
    <w:rsid w:val="25660EB1"/>
    <w:rsid w:val="256F1A53"/>
    <w:rsid w:val="25710087"/>
    <w:rsid w:val="2579170A"/>
    <w:rsid w:val="257F631A"/>
    <w:rsid w:val="258B2F2B"/>
    <w:rsid w:val="258B31A0"/>
    <w:rsid w:val="25997A40"/>
    <w:rsid w:val="25AB3D1C"/>
    <w:rsid w:val="25AD773E"/>
    <w:rsid w:val="25BD0D5A"/>
    <w:rsid w:val="25C24DB3"/>
    <w:rsid w:val="25C93B2C"/>
    <w:rsid w:val="25CA79D3"/>
    <w:rsid w:val="25D141DA"/>
    <w:rsid w:val="25D90A1B"/>
    <w:rsid w:val="25E22192"/>
    <w:rsid w:val="25E25630"/>
    <w:rsid w:val="25E37AB4"/>
    <w:rsid w:val="25E75557"/>
    <w:rsid w:val="25EB519E"/>
    <w:rsid w:val="25F332FF"/>
    <w:rsid w:val="25FE37D6"/>
    <w:rsid w:val="260B31F7"/>
    <w:rsid w:val="260D72CA"/>
    <w:rsid w:val="260D7D2A"/>
    <w:rsid w:val="26274BB6"/>
    <w:rsid w:val="263052F8"/>
    <w:rsid w:val="26307BB3"/>
    <w:rsid w:val="26356536"/>
    <w:rsid w:val="263C67ED"/>
    <w:rsid w:val="26414073"/>
    <w:rsid w:val="265B4E67"/>
    <w:rsid w:val="26613C06"/>
    <w:rsid w:val="266900A5"/>
    <w:rsid w:val="266A6A94"/>
    <w:rsid w:val="267B581D"/>
    <w:rsid w:val="267D046D"/>
    <w:rsid w:val="267E0898"/>
    <w:rsid w:val="268B243A"/>
    <w:rsid w:val="268B66D1"/>
    <w:rsid w:val="268F6DE0"/>
    <w:rsid w:val="2699313F"/>
    <w:rsid w:val="269A1027"/>
    <w:rsid w:val="269C627F"/>
    <w:rsid w:val="26A6403E"/>
    <w:rsid w:val="26AA20D3"/>
    <w:rsid w:val="26AB6FD3"/>
    <w:rsid w:val="26B43DCE"/>
    <w:rsid w:val="26B92096"/>
    <w:rsid w:val="26BA4865"/>
    <w:rsid w:val="26C705B0"/>
    <w:rsid w:val="26D903CC"/>
    <w:rsid w:val="26D95783"/>
    <w:rsid w:val="26DD3B73"/>
    <w:rsid w:val="26E576C7"/>
    <w:rsid w:val="26E63E5F"/>
    <w:rsid w:val="26E86041"/>
    <w:rsid w:val="26F04260"/>
    <w:rsid w:val="26F81EB4"/>
    <w:rsid w:val="26FB2F1B"/>
    <w:rsid w:val="27075A64"/>
    <w:rsid w:val="270B5A07"/>
    <w:rsid w:val="270D2A23"/>
    <w:rsid w:val="270F5023"/>
    <w:rsid w:val="27173613"/>
    <w:rsid w:val="2719615A"/>
    <w:rsid w:val="271E1C7E"/>
    <w:rsid w:val="27310B9A"/>
    <w:rsid w:val="273E1C11"/>
    <w:rsid w:val="27490C18"/>
    <w:rsid w:val="27511867"/>
    <w:rsid w:val="275265C3"/>
    <w:rsid w:val="27567996"/>
    <w:rsid w:val="275E4DA2"/>
    <w:rsid w:val="27657FB0"/>
    <w:rsid w:val="276B112C"/>
    <w:rsid w:val="27815619"/>
    <w:rsid w:val="27836BEF"/>
    <w:rsid w:val="278E3373"/>
    <w:rsid w:val="279664C8"/>
    <w:rsid w:val="279E214A"/>
    <w:rsid w:val="279E2679"/>
    <w:rsid w:val="279F554C"/>
    <w:rsid w:val="27AD7087"/>
    <w:rsid w:val="27BC6441"/>
    <w:rsid w:val="27CF3DDC"/>
    <w:rsid w:val="27D37390"/>
    <w:rsid w:val="27D65541"/>
    <w:rsid w:val="27D76E3B"/>
    <w:rsid w:val="27DF76E4"/>
    <w:rsid w:val="27E32A7D"/>
    <w:rsid w:val="27EC5FCE"/>
    <w:rsid w:val="28011BEC"/>
    <w:rsid w:val="282D51CC"/>
    <w:rsid w:val="28331C87"/>
    <w:rsid w:val="28372507"/>
    <w:rsid w:val="2841669A"/>
    <w:rsid w:val="284F59AF"/>
    <w:rsid w:val="28583306"/>
    <w:rsid w:val="286651CF"/>
    <w:rsid w:val="28671C46"/>
    <w:rsid w:val="286D1BDB"/>
    <w:rsid w:val="287326EC"/>
    <w:rsid w:val="2897657D"/>
    <w:rsid w:val="2899000A"/>
    <w:rsid w:val="289F1401"/>
    <w:rsid w:val="28A028D3"/>
    <w:rsid w:val="28A066B3"/>
    <w:rsid w:val="28A56196"/>
    <w:rsid w:val="28AB19F4"/>
    <w:rsid w:val="28AC5D49"/>
    <w:rsid w:val="28C74374"/>
    <w:rsid w:val="28CD1B01"/>
    <w:rsid w:val="28D164FE"/>
    <w:rsid w:val="28D71E0B"/>
    <w:rsid w:val="28DC39BE"/>
    <w:rsid w:val="28DC6898"/>
    <w:rsid w:val="28DD5BCB"/>
    <w:rsid w:val="28E01F8A"/>
    <w:rsid w:val="28EE46CA"/>
    <w:rsid w:val="28F045AC"/>
    <w:rsid w:val="28F469AF"/>
    <w:rsid w:val="28FB50B6"/>
    <w:rsid w:val="290057D3"/>
    <w:rsid w:val="290A1D57"/>
    <w:rsid w:val="290B3B64"/>
    <w:rsid w:val="291064E1"/>
    <w:rsid w:val="29144474"/>
    <w:rsid w:val="2916007F"/>
    <w:rsid w:val="291D583E"/>
    <w:rsid w:val="292D117C"/>
    <w:rsid w:val="2933288E"/>
    <w:rsid w:val="29446488"/>
    <w:rsid w:val="294B6B4C"/>
    <w:rsid w:val="294C12BF"/>
    <w:rsid w:val="295127EC"/>
    <w:rsid w:val="29602BC4"/>
    <w:rsid w:val="29610CF0"/>
    <w:rsid w:val="296576F6"/>
    <w:rsid w:val="296A4B2B"/>
    <w:rsid w:val="29713584"/>
    <w:rsid w:val="29870F2F"/>
    <w:rsid w:val="298F0A9C"/>
    <w:rsid w:val="299760C7"/>
    <w:rsid w:val="2999350D"/>
    <w:rsid w:val="299E7E78"/>
    <w:rsid w:val="29AB7E6A"/>
    <w:rsid w:val="29AE0DEF"/>
    <w:rsid w:val="29B30AFA"/>
    <w:rsid w:val="29B66771"/>
    <w:rsid w:val="29B759BC"/>
    <w:rsid w:val="29B84793"/>
    <w:rsid w:val="29BB777B"/>
    <w:rsid w:val="29BE1363"/>
    <w:rsid w:val="29CB62CA"/>
    <w:rsid w:val="29D60A95"/>
    <w:rsid w:val="29D94FA1"/>
    <w:rsid w:val="29E0703F"/>
    <w:rsid w:val="29E31604"/>
    <w:rsid w:val="29E87CCF"/>
    <w:rsid w:val="29F32659"/>
    <w:rsid w:val="29F87E04"/>
    <w:rsid w:val="2A0A04AA"/>
    <w:rsid w:val="2A104B2B"/>
    <w:rsid w:val="2A1A7BC7"/>
    <w:rsid w:val="2A1F23A7"/>
    <w:rsid w:val="2A2036AC"/>
    <w:rsid w:val="2A220C75"/>
    <w:rsid w:val="2A226BAF"/>
    <w:rsid w:val="2A27047E"/>
    <w:rsid w:val="2A2D73EC"/>
    <w:rsid w:val="2A2E4CEB"/>
    <w:rsid w:val="2A346ACA"/>
    <w:rsid w:val="2A357DCE"/>
    <w:rsid w:val="2A3A7A42"/>
    <w:rsid w:val="2A3B565F"/>
    <w:rsid w:val="2A4031A5"/>
    <w:rsid w:val="2A4B2109"/>
    <w:rsid w:val="2A4B2E17"/>
    <w:rsid w:val="2A5C72C7"/>
    <w:rsid w:val="2A653259"/>
    <w:rsid w:val="2A6F194E"/>
    <w:rsid w:val="2A77779C"/>
    <w:rsid w:val="2A790D15"/>
    <w:rsid w:val="2A796EAB"/>
    <w:rsid w:val="2A8F4841"/>
    <w:rsid w:val="2A916E63"/>
    <w:rsid w:val="2A9248E5"/>
    <w:rsid w:val="2A97379F"/>
    <w:rsid w:val="2A9D2C76"/>
    <w:rsid w:val="2A9D7267"/>
    <w:rsid w:val="2AA047B5"/>
    <w:rsid w:val="2AA07A18"/>
    <w:rsid w:val="2AA34B7F"/>
    <w:rsid w:val="2AA369DD"/>
    <w:rsid w:val="2AAF4F9A"/>
    <w:rsid w:val="2AB22C9A"/>
    <w:rsid w:val="2AB3386F"/>
    <w:rsid w:val="2AB84B24"/>
    <w:rsid w:val="2AD06022"/>
    <w:rsid w:val="2AD63975"/>
    <w:rsid w:val="2ADB4987"/>
    <w:rsid w:val="2ADD1B0D"/>
    <w:rsid w:val="2ADF2DC8"/>
    <w:rsid w:val="2AE64773"/>
    <w:rsid w:val="2AE952F3"/>
    <w:rsid w:val="2AEC47FC"/>
    <w:rsid w:val="2AF1331E"/>
    <w:rsid w:val="2AF81BE3"/>
    <w:rsid w:val="2AF926C9"/>
    <w:rsid w:val="2AFA02A2"/>
    <w:rsid w:val="2AFF23A5"/>
    <w:rsid w:val="2B282245"/>
    <w:rsid w:val="2B2F0188"/>
    <w:rsid w:val="2B361003"/>
    <w:rsid w:val="2B3762A6"/>
    <w:rsid w:val="2B3C6641"/>
    <w:rsid w:val="2B3F0D39"/>
    <w:rsid w:val="2B4B7916"/>
    <w:rsid w:val="2B4E2A99"/>
    <w:rsid w:val="2B5B0F6E"/>
    <w:rsid w:val="2B605B83"/>
    <w:rsid w:val="2B631DDB"/>
    <w:rsid w:val="2B6530D1"/>
    <w:rsid w:val="2B792012"/>
    <w:rsid w:val="2B797161"/>
    <w:rsid w:val="2B7E5D28"/>
    <w:rsid w:val="2B7F31FF"/>
    <w:rsid w:val="2B925FDF"/>
    <w:rsid w:val="2B9970F1"/>
    <w:rsid w:val="2B9B3029"/>
    <w:rsid w:val="2BB65D1D"/>
    <w:rsid w:val="2BBA7BCA"/>
    <w:rsid w:val="2BC27506"/>
    <w:rsid w:val="2BDF6B05"/>
    <w:rsid w:val="2BE501C7"/>
    <w:rsid w:val="2BED2E55"/>
    <w:rsid w:val="2C0122C3"/>
    <w:rsid w:val="2C03186B"/>
    <w:rsid w:val="2C0F55F3"/>
    <w:rsid w:val="2C1738CF"/>
    <w:rsid w:val="2C18031A"/>
    <w:rsid w:val="2C1945D8"/>
    <w:rsid w:val="2C2217C9"/>
    <w:rsid w:val="2C24507B"/>
    <w:rsid w:val="2C2801FE"/>
    <w:rsid w:val="2C5353CC"/>
    <w:rsid w:val="2C614AA9"/>
    <w:rsid w:val="2C6169CC"/>
    <w:rsid w:val="2C665AE5"/>
    <w:rsid w:val="2C6714F0"/>
    <w:rsid w:val="2C6C7918"/>
    <w:rsid w:val="2C7502FD"/>
    <w:rsid w:val="2C777084"/>
    <w:rsid w:val="2C783906"/>
    <w:rsid w:val="2C792587"/>
    <w:rsid w:val="2C7A0499"/>
    <w:rsid w:val="2C7C1BFB"/>
    <w:rsid w:val="2C832E96"/>
    <w:rsid w:val="2C8E3E84"/>
    <w:rsid w:val="2C942C30"/>
    <w:rsid w:val="2C9D3A40"/>
    <w:rsid w:val="2C9F1142"/>
    <w:rsid w:val="2CA57E78"/>
    <w:rsid w:val="2CA70718"/>
    <w:rsid w:val="2CA8507A"/>
    <w:rsid w:val="2CA952D4"/>
    <w:rsid w:val="2CAF5807"/>
    <w:rsid w:val="2CB4614D"/>
    <w:rsid w:val="2CB5787B"/>
    <w:rsid w:val="2CBF13A5"/>
    <w:rsid w:val="2CCA4381"/>
    <w:rsid w:val="2CD30F03"/>
    <w:rsid w:val="2CD719D9"/>
    <w:rsid w:val="2CD74B1F"/>
    <w:rsid w:val="2CDC70BE"/>
    <w:rsid w:val="2CE618B6"/>
    <w:rsid w:val="2CF009CE"/>
    <w:rsid w:val="2CF249BE"/>
    <w:rsid w:val="2CFC1554"/>
    <w:rsid w:val="2CFF3512"/>
    <w:rsid w:val="2D0B4074"/>
    <w:rsid w:val="2D0B7148"/>
    <w:rsid w:val="2D113E1B"/>
    <w:rsid w:val="2D17770B"/>
    <w:rsid w:val="2D1E469A"/>
    <w:rsid w:val="2D287789"/>
    <w:rsid w:val="2D354DCA"/>
    <w:rsid w:val="2D4360F1"/>
    <w:rsid w:val="2D475309"/>
    <w:rsid w:val="2D4C4C78"/>
    <w:rsid w:val="2D5072B9"/>
    <w:rsid w:val="2D507BFC"/>
    <w:rsid w:val="2D595579"/>
    <w:rsid w:val="2D6E6943"/>
    <w:rsid w:val="2D7C22D8"/>
    <w:rsid w:val="2D7D1686"/>
    <w:rsid w:val="2D7E4AF7"/>
    <w:rsid w:val="2D7E702C"/>
    <w:rsid w:val="2D7E73C7"/>
    <w:rsid w:val="2D8519AC"/>
    <w:rsid w:val="2D87777E"/>
    <w:rsid w:val="2D8A7365"/>
    <w:rsid w:val="2D8D3550"/>
    <w:rsid w:val="2D8E349F"/>
    <w:rsid w:val="2D9469E6"/>
    <w:rsid w:val="2D9D7A77"/>
    <w:rsid w:val="2D9F156C"/>
    <w:rsid w:val="2DAF78FF"/>
    <w:rsid w:val="2DB15B07"/>
    <w:rsid w:val="2DBF4E1C"/>
    <w:rsid w:val="2DBF701B"/>
    <w:rsid w:val="2DC10320"/>
    <w:rsid w:val="2DD072B5"/>
    <w:rsid w:val="2DD2603B"/>
    <w:rsid w:val="2DD93F77"/>
    <w:rsid w:val="2DDC2E60"/>
    <w:rsid w:val="2DDE7A41"/>
    <w:rsid w:val="2DE23D77"/>
    <w:rsid w:val="2DEF20F0"/>
    <w:rsid w:val="2DF422E9"/>
    <w:rsid w:val="2DF67EAC"/>
    <w:rsid w:val="2DF85208"/>
    <w:rsid w:val="2DF930A9"/>
    <w:rsid w:val="2E005886"/>
    <w:rsid w:val="2E00793A"/>
    <w:rsid w:val="2E035A56"/>
    <w:rsid w:val="2E041306"/>
    <w:rsid w:val="2E0745C9"/>
    <w:rsid w:val="2E106E4C"/>
    <w:rsid w:val="2E1F28B7"/>
    <w:rsid w:val="2E2A44CC"/>
    <w:rsid w:val="2E422716"/>
    <w:rsid w:val="2E4317F2"/>
    <w:rsid w:val="2E452AF7"/>
    <w:rsid w:val="2E4A3C4E"/>
    <w:rsid w:val="2E4C211D"/>
    <w:rsid w:val="2E4D7F49"/>
    <w:rsid w:val="2E4E05E7"/>
    <w:rsid w:val="2E4E1129"/>
    <w:rsid w:val="2E5B5EA2"/>
    <w:rsid w:val="2E5F1C45"/>
    <w:rsid w:val="2E5F45A1"/>
    <w:rsid w:val="2E6446EB"/>
    <w:rsid w:val="2E6E5EBA"/>
    <w:rsid w:val="2E7A5550"/>
    <w:rsid w:val="2E7F0E61"/>
    <w:rsid w:val="2E7F686F"/>
    <w:rsid w:val="2E814EDA"/>
    <w:rsid w:val="2E870765"/>
    <w:rsid w:val="2E8D0791"/>
    <w:rsid w:val="2E9A64A3"/>
    <w:rsid w:val="2E9B39A1"/>
    <w:rsid w:val="2E9F6735"/>
    <w:rsid w:val="2EA51AE7"/>
    <w:rsid w:val="2EB61B31"/>
    <w:rsid w:val="2EB63B09"/>
    <w:rsid w:val="2EB744A6"/>
    <w:rsid w:val="2EBC045D"/>
    <w:rsid w:val="2ED1015D"/>
    <w:rsid w:val="2EDE19F1"/>
    <w:rsid w:val="2EF12C10"/>
    <w:rsid w:val="2EF46E83"/>
    <w:rsid w:val="2EF57EDD"/>
    <w:rsid w:val="2F047EE8"/>
    <w:rsid w:val="2F085C75"/>
    <w:rsid w:val="2F0A5D38"/>
    <w:rsid w:val="2F0C5A7B"/>
    <w:rsid w:val="2F0E473E"/>
    <w:rsid w:val="2F0F21C0"/>
    <w:rsid w:val="2F116436"/>
    <w:rsid w:val="2F1A1856"/>
    <w:rsid w:val="2F1C0554"/>
    <w:rsid w:val="2F2451F0"/>
    <w:rsid w:val="2F2A29E2"/>
    <w:rsid w:val="2F2B12A9"/>
    <w:rsid w:val="2F2B2ABE"/>
    <w:rsid w:val="2F3440DE"/>
    <w:rsid w:val="2F3467AB"/>
    <w:rsid w:val="2F3A0A9C"/>
    <w:rsid w:val="2F3A4309"/>
    <w:rsid w:val="2F3D528D"/>
    <w:rsid w:val="2F3F207E"/>
    <w:rsid w:val="2F4D5528"/>
    <w:rsid w:val="2F5516CA"/>
    <w:rsid w:val="2F626907"/>
    <w:rsid w:val="2F633507"/>
    <w:rsid w:val="2F673ED3"/>
    <w:rsid w:val="2F72682F"/>
    <w:rsid w:val="2F7A696B"/>
    <w:rsid w:val="2F7B0AF4"/>
    <w:rsid w:val="2F8D6982"/>
    <w:rsid w:val="2F956224"/>
    <w:rsid w:val="2F9601EC"/>
    <w:rsid w:val="2F970E99"/>
    <w:rsid w:val="2FA00F7A"/>
    <w:rsid w:val="2FA23A7C"/>
    <w:rsid w:val="2FA30525"/>
    <w:rsid w:val="2FA32B33"/>
    <w:rsid w:val="2FB449B9"/>
    <w:rsid w:val="2FC254E7"/>
    <w:rsid w:val="2FC73BC7"/>
    <w:rsid w:val="2FCB3BF8"/>
    <w:rsid w:val="2FCC3878"/>
    <w:rsid w:val="2FD33F66"/>
    <w:rsid w:val="2FD408E0"/>
    <w:rsid w:val="2FD46948"/>
    <w:rsid w:val="2FDB4A4D"/>
    <w:rsid w:val="2FE311E4"/>
    <w:rsid w:val="2FF05140"/>
    <w:rsid w:val="2FF608DC"/>
    <w:rsid w:val="2FFA0EC4"/>
    <w:rsid w:val="2FFD3FAC"/>
    <w:rsid w:val="30032CF9"/>
    <w:rsid w:val="3004586C"/>
    <w:rsid w:val="30075FDB"/>
    <w:rsid w:val="300C50D0"/>
    <w:rsid w:val="30103067"/>
    <w:rsid w:val="301574EF"/>
    <w:rsid w:val="30160ACC"/>
    <w:rsid w:val="30203302"/>
    <w:rsid w:val="30232088"/>
    <w:rsid w:val="3035463F"/>
    <w:rsid w:val="3045081F"/>
    <w:rsid w:val="304B5DEC"/>
    <w:rsid w:val="305262F9"/>
    <w:rsid w:val="305A1538"/>
    <w:rsid w:val="305F666A"/>
    <w:rsid w:val="306825DD"/>
    <w:rsid w:val="3068620E"/>
    <w:rsid w:val="306D3401"/>
    <w:rsid w:val="30762D20"/>
    <w:rsid w:val="30834BF9"/>
    <w:rsid w:val="308D5EB4"/>
    <w:rsid w:val="30944718"/>
    <w:rsid w:val="3094583F"/>
    <w:rsid w:val="30991CC7"/>
    <w:rsid w:val="30A75B25"/>
    <w:rsid w:val="30AE7865"/>
    <w:rsid w:val="30B95EAB"/>
    <w:rsid w:val="30BD0622"/>
    <w:rsid w:val="30C01078"/>
    <w:rsid w:val="30CF0FD9"/>
    <w:rsid w:val="30D23125"/>
    <w:rsid w:val="30E06F3B"/>
    <w:rsid w:val="30F34FAE"/>
    <w:rsid w:val="30FE2CF0"/>
    <w:rsid w:val="310160EC"/>
    <w:rsid w:val="310A6B03"/>
    <w:rsid w:val="31113F0F"/>
    <w:rsid w:val="312564F4"/>
    <w:rsid w:val="31325585"/>
    <w:rsid w:val="3133127A"/>
    <w:rsid w:val="31353CD7"/>
    <w:rsid w:val="313666CD"/>
    <w:rsid w:val="313B4085"/>
    <w:rsid w:val="313E4128"/>
    <w:rsid w:val="313E620E"/>
    <w:rsid w:val="313E6CDE"/>
    <w:rsid w:val="31434F17"/>
    <w:rsid w:val="31543819"/>
    <w:rsid w:val="315D0B0B"/>
    <w:rsid w:val="31603336"/>
    <w:rsid w:val="31667634"/>
    <w:rsid w:val="31727F68"/>
    <w:rsid w:val="317662E9"/>
    <w:rsid w:val="317B280F"/>
    <w:rsid w:val="318E38CE"/>
    <w:rsid w:val="31954796"/>
    <w:rsid w:val="31962DAE"/>
    <w:rsid w:val="31970AB8"/>
    <w:rsid w:val="319F0073"/>
    <w:rsid w:val="31A002FB"/>
    <w:rsid w:val="31A87E46"/>
    <w:rsid w:val="31A93189"/>
    <w:rsid w:val="31AF3EEF"/>
    <w:rsid w:val="31B56BB4"/>
    <w:rsid w:val="31B9498A"/>
    <w:rsid w:val="31C64CB7"/>
    <w:rsid w:val="31CD6F8B"/>
    <w:rsid w:val="31D077C5"/>
    <w:rsid w:val="31D94C95"/>
    <w:rsid w:val="31E352CA"/>
    <w:rsid w:val="31E50329"/>
    <w:rsid w:val="31ED7FC2"/>
    <w:rsid w:val="32044DED"/>
    <w:rsid w:val="320C562E"/>
    <w:rsid w:val="32106030"/>
    <w:rsid w:val="32142838"/>
    <w:rsid w:val="321B7A48"/>
    <w:rsid w:val="321F2DC7"/>
    <w:rsid w:val="3226789E"/>
    <w:rsid w:val="322E55E0"/>
    <w:rsid w:val="323A4C76"/>
    <w:rsid w:val="323E476F"/>
    <w:rsid w:val="32462A55"/>
    <w:rsid w:val="324B22D2"/>
    <w:rsid w:val="32575E9A"/>
    <w:rsid w:val="325C3AF5"/>
    <w:rsid w:val="326225B7"/>
    <w:rsid w:val="32634F46"/>
    <w:rsid w:val="32660FBD"/>
    <w:rsid w:val="32797FDE"/>
    <w:rsid w:val="327A0FE8"/>
    <w:rsid w:val="328911F2"/>
    <w:rsid w:val="329108DF"/>
    <w:rsid w:val="32926451"/>
    <w:rsid w:val="32931C47"/>
    <w:rsid w:val="329F684F"/>
    <w:rsid w:val="32A83910"/>
    <w:rsid w:val="32B26B6D"/>
    <w:rsid w:val="32BD1FFE"/>
    <w:rsid w:val="32C30926"/>
    <w:rsid w:val="32C92CF9"/>
    <w:rsid w:val="32CE05D8"/>
    <w:rsid w:val="32D16607"/>
    <w:rsid w:val="32D44E75"/>
    <w:rsid w:val="32DD447F"/>
    <w:rsid w:val="32DF7982"/>
    <w:rsid w:val="32F96ACA"/>
    <w:rsid w:val="330258B3"/>
    <w:rsid w:val="330428CD"/>
    <w:rsid w:val="33051DC0"/>
    <w:rsid w:val="33054642"/>
    <w:rsid w:val="33055644"/>
    <w:rsid w:val="33106E3B"/>
    <w:rsid w:val="33133414"/>
    <w:rsid w:val="332500F7"/>
    <w:rsid w:val="332B5883"/>
    <w:rsid w:val="332C2B52"/>
    <w:rsid w:val="332F0517"/>
    <w:rsid w:val="333D647B"/>
    <w:rsid w:val="333E4968"/>
    <w:rsid w:val="33597207"/>
    <w:rsid w:val="337E28B4"/>
    <w:rsid w:val="338B50B6"/>
    <w:rsid w:val="338C6739"/>
    <w:rsid w:val="338D6821"/>
    <w:rsid w:val="338F27B5"/>
    <w:rsid w:val="33951969"/>
    <w:rsid w:val="339B5E01"/>
    <w:rsid w:val="33A02F90"/>
    <w:rsid w:val="33A31D7A"/>
    <w:rsid w:val="33AB1655"/>
    <w:rsid w:val="33B75467"/>
    <w:rsid w:val="33BD3297"/>
    <w:rsid w:val="33C42CBE"/>
    <w:rsid w:val="33C521FE"/>
    <w:rsid w:val="33CD1809"/>
    <w:rsid w:val="33D163EF"/>
    <w:rsid w:val="33D45DFD"/>
    <w:rsid w:val="33D52499"/>
    <w:rsid w:val="33D622B7"/>
    <w:rsid w:val="33DA6921"/>
    <w:rsid w:val="33DE5327"/>
    <w:rsid w:val="33E11727"/>
    <w:rsid w:val="33E605A3"/>
    <w:rsid w:val="33E706E6"/>
    <w:rsid w:val="33E846A6"/>
    <w:rsid w:val="33F14703"/>
    <w:rsid w:val="33F7797D"/>
    <w:rsid w:val="33F971D5"/>
    <w:rsid w:val="33FE4867"/>
    <w:rsid w:val="3406027F"/>
    <w:rsid w:val="3408616B"/>
    <w:rsid w:val="340C0F9D"/>
    <w:rsid w:val="3411487C"/>
    <w:rsid w:val="341C5F55"/>
    <w:rsid w:val="341E0B6A"/>
    <w:rsid w:val="34243449"/>
    <w:rsid w:val="342F05A9"/>
    <w:rsid w:val="34332832"/>
    <w:rsid w:val="343524B2"/>
    <w:rsid w:val="3442504B"/>
    <w:rsid w:val="34464ACC"/>
    <w:rsid w:val="344811B9"/>
    <w:rsid w:val="34497B40"/>
    <w:rsid w:val="344B4545"/>
    <w:rsid w:val="34504361"/>
    <w:rsid w:val="34543D83"/>
    <w:rsid w:val="345B2367"/>
    <w:rsid w:val="345B5F75"/>
    <w:rsid w:val="345C6505"/>
    <w:rsid w:val="346638E0"/>
    <w:rsid w:val="347F2162"/>
    <w:rsid w:val="34812D29"/>
    <w:rsid w:val="348B5095"/>
    <w:rsid w:val="349C31F7"/>
    <w:rsid w:val="349D0BDD"/>
    <w:rsid w:val="349E1E18"/>
    <w:rsid w:val="34A54544"/>
    <w:rsid w:val="34A5796A"/>
    <w:rsid w:val="34AA6190"/>
    <w:rsid w:val="34AE0539"/>
    <w:rsid w:val="34B16BF3"/>
    <w:rsid w:val="34BD4F1E"/>
    <w:rsid w:val="34BE4995"/>
    <w:rsid w:val="34BF7E98"/>
    <w:rsid w:val="34C65624"/>
    <w:rsid w:val="34C849DC"/>
    <w:rsid w:val="34CD5068"/>
    <w:rsid w:val="34CE2B5B"/>
    <w:rsid w:val="34D310B7"/>
    <w:rsid w:val="34E711CA"/>
    <w:rsid w:val="34E944F6"/>
    <w:rsid w:val="34E94AA0"/>
    <w:rsid w:val="34ED017A"/>
    <w:rsid w:val="34F67643"/>
    <w:rsid w:val="34F706AC"/>
    <w:rsid w:val="34FF53FE"/>
    <w:rsid w:val="35072EAD"/>
    <w:rsid w:val="350960B1"/>
    <w:rsid w:val="350D7F97"/>
    <w:rsid w:val="35150114"/>
    <w:rsid w:val="351C27B0"/>
    <w:rsid w:val="351D425D"/>
    <w:rsid w:val="351E7054"/>
    <w:rsid w:val="35217336"/>
    <w:rsid w:val="35290A77"/>
    <w:rsid w:val="352A0B4B"/>
    <w:rsid w:val="35325E66"/>
    <w:rsid w:val="35356F10"/>
    <w:rsid w:val="35371B3F"/>
    <w:rsid w:val="353C1008"/>
    <w:rsid w:val="354840CB"/>
    <w:rsid w:val="354E0C27"/>
    <w:rsid w:val="35520D37"/>
    <w:rsid w:val="35524018"/>
    <w:rsid w:val="35577112"/>
    <w:rsid w:val="35592615"/>
    <w:rsid w:val="355C013C"/>
    <w:rsid w:val="35611C20"/>
    <w:rsid w:val="35616AE7"/>
    <w:rsid w:val="3565420B"/>
    <w:rsid w:val="35673B29"/>
    <w:rsid w:val="356A601B"/>
    <w:rsid w:val="356F0F35"/>
    <w:rsid w:val="3570454A"/>
    <w:rsid w:val="3572634E"/>
    <w:rsid w:val="3583595D"/>
    <w:rsid w:val="35841013"/>
    <w:rsid w:val="358B79C9"/>
    <w:rsid w:val="358C5CCB"/>
    <w:rsid w:val="35976D7F"/>
    <w:rsid w:val="359A00B9"/>
    <w:rsid w:val="35A23D0E"/>
    <w:rsid w:val="35AE7B20"/>
    <w:rsid w:val="35BA5B31"/>
    <w:rsid w:val="35C23876"/>
    <w:rsid w:val="35C73445"/>
    <w:rsid w:val="35CB1D6D"/>
    <w:rsid w:val="35D2691D"/>
    <w:rsid w:val="35D514D4"/>
    <w:rsid w:val="35DB18E9"/>
    <w:rsid w:val="35E01551"/>
    <w:rsid w:val="35EE2B08"/>
    <w:rsid w:val="35F853BB"/>
    <w:rsid w:val="35FB1676"/>
    <w:rsid w:val="36033620"/>
    <w:rsid w:val="36133D69"/>
    <w:rsid w:val="361526DE"/>
    <w:rsid w:val="36225127"/>
    <w:rsid w:val="36237E20"/>
    <w:rsid w:val="36286678"/>
    <w:rsid w:val="363803C7"/>
    <w:rsid w:val="363A3122"/>
    <w:rsid w:val="364542F2"/>
    <w:rsid w:val="3646059A"/>
    <w:rsid w:val="365607BB"/>
    <w:rsid w:val="366A2B15"/>
    <w:rsid w:val="367571F9"/>
    <w:rsid w:val="367620D2"/>
    <w:rsid w:val="367E6B74"/>
    <w:rsid w:val="3689139F"/>
    <w:rsid w:val="3693592E"/>
    <w:rsid w:val="369608CE"/>
    <w:rsid w:val="369B0A76"/>
    <w:rsid w:val="369B2954"/>
    <w:rsid w:val="36A04B2A"/>
    <w:rsid w:val="36AD1AC9"/>
    <w:rsid w:val="36B260C9"/>
    <w:rsid w:val="36C02E61"/>
    <w:rsid w:val="36C1037B"/>
    <w:rsid w:val="36C82372"/>
    <w:rsid w:val="36C86191"/>
    <w:rsid w:val="36D067A6"/>
    <w:rsid w:val="36D1561B"/>
    <w:rsid w:val="36D80A21"/>
    <w:rsid w:val="36DF16B9"/>
    <w:rsid w:val="36E24B9E"/>
    <w:rsid w:val="36ED1BD9"/>
    <w:rsid w:val="36EF0F55"/>
    <w:rsid w:val="36FA0A93"/>
    <w:rsid w:val="37070D11"/>
    <w:rsid w:val="370C03C2"/>
    <w:rsid w:val="37156C65"/>
    <w:rsid w:val="37201F64"/>
    <w:rsid w:val="37211C00"/>
    <w:rsid w:val="3732571E"/>
    <w:rsid w:val="373F53DD"/>
    <w:rsid w:val="37471160"/>
    <w:rsid w:val="375223CF"/>
    <w:rsid w:val="375842D9"/>
    <w:rsid w:val="375948AC"/>
    <w:rsid w:val="375B6281"/>
    <w:rsid w:val="375D3A9B"/>
    <w:rsid w:val="376016E5"/>
    <w:rsid w:val="376352A4"/>
    <w:rsid w:val="37684573"/>
    <w:rsid w:val="376B28D6"/>
    <w:rsid w:val="376C0D7B"/>
    <w:rsid w:val="376C5D00"/>
    <w:rsid w:val="376D09FB"/>
    <w:rsid w:val="376E1D00"/>
    <w:rsid w:val="376E276D"/>
    <w:rsid w:val="376F3EFE"/>
    <w:rsid w:val="3779277F"/>
    <w:rsid w:val="377E4518"/>
    <w:rsid w:val="37825E7B"/>
    <w:rsid w:val="378579E8"/>
    <w:rsid w:val="37872023"/>
    <w:rsid w:val="37911AD0"/>
    <w:rsid w:val="37926A3C"/>
    <w:rsid w:val="379D4DCD"/>
    <w:rsid w:val="37A04E93"/>
    <w:rsid w:val="37AA4F18"/>
    <w:rsid w:val="37B74D55"/>
    <w:rsid w:val="37C537C3"/>
    <w:rsid w:val="37C920C3"/>
    <w:rsid w:val="37CA21FC"/>
    <w:rsid w:val="37CA6221"/>
    <w:rsid w:val="37CE234B"/>
    <w:rsid w:val="37D82EE4"/>
    <w:rsid w:val="37DF54A6"/>
    <w:rsid w:val="37E00D3A"/>
    <w:rsid w:val="37EA0A17"/>
    <w:rsid w:val="37EA234A"/>
    <w:rsid w:val="37F510CB"/>
    <w:rsid w:val="380A7603"/>
    <w:rsid w:val="380B0BB2"/>
    <w:rsid w:val="380D2B03"/>
    <w:rsid w:val="380D32F1"/>
    <w:rsid w:val="380D5D0D"/>
    <w:rsid w:val="380E4447"/>
    <w:rsid w:val="3825549B"/>
    <w:rsid w:val="382F2C1E"/>
    <w:rsid w:val="383B271A"/>
    <w:rsid w:val="38474241"/>
    <w:rsid w:val="384D78BB"/>
    <w:rsid w:val="385B37D6"/>
    <w:rsid w:val="385C14B3"/>
    <w:rsid w:val="38716CD9"/>
    <w:rsid w:val="387A56B5"/>
    <w:rsid w:val="38801C6C"/>
    <w:rsid w:val="388075BE"/>
    <w:rsid w:val="38851608"/>
    <w:rsid w:val="38932D9D"/>
    <w:rsid w:val="38A442FB"/>
    <w:rsid w:val="38A45712"/>
    <w:rsid w:val="38A47DD9"/>
    <w:rsid w:val="38A659F1"/>
    <w:rsid w:val="38A71165"/>
    <w:rsid w:val="38AB1AE5"/>
    <w:rsid w:val="38B04451"/>
    <w:rsid w:val="38BA2109"/>
    <w:rsid w:val="38C9778C"/>
    <w:rsid w:val="38CC35B4"/>
    <w:rsid w:val="38D10166"/>
    <w:rsid w:val="38DE5A86"/>
    <w:rsid w:val="38E66069"/>
    <w:rsid w:val="38FB278B"/>
    <w:rsid w:val="38FB5C8D"/>
    <w:rsid w:val="38FD240B"/>
    <w:rsid w:val="39005416"/>
    <w:rsid w:val="390D04A7"/>
    <w:rsid w:val="39115DDF"/>
    <w:rsid w:val="391D402E"/>
    <w:rsid w:val="39207FD2"/>
    <w:rsid w:val="39235FC1"/>
    <w:rsid w:val="392A38E3"/>
    <w:rsid w:val="392D6AE3"/>
    <w:rsid w:val="3933207C"/>
    <w:rsid w:val="393670ED"/>
    <w:rsid w:val="39395514"/>
    <w:rsid w:val="3949152F"/>
    <w:rsid w:val="394B37F2"/>
    <w:rsid w:val="39532C2F"/>
    <w:rsid w:val="3978033E"/>
    <w:rsid w:val="39985F30"/>
    <w:rsid w:val="39997A3C"/>
    <w:rsid w:val="39A52F17"/>
    <w:rsid w:val="39AC4D26"/>
    <w:rsid w:val="39B16A37"/>
    <w:rsid w:val="39B244B8"/>
    <w:rsid w:val="39D2739A"/>
    <w:rsid w:val="39D3500A"/>
    <w:rsid w:val="39D96419"/>
    <w:rsid w:val="39E06281"/>
    <w:rsid w:val="39E55169"/>
    <w:rsid w:val="39E84553"/>
    <w:rsid w:val="39E861B5"/>
    <w:rsid w:val="39EA4612"/>
    <w:rsid w:val="39F17820"/>
    <w:rsid w:val="39F4018B"/>
    <w:rsid w:val="39F72E22"/>
    <w:rsid w:val="3A094E52"/>
    <w:rsid w:val="3A094EC7"/>
    <w:rsid w:val="3A174971"/>
    <w:rsid w:val="3A1F1E78"/>
    <w:rsid w:val="3A233308"/>
    <w:rsid w:val="3A273045"/>
    <w:rsid w:val="3A2A1737"/>
    <w:rsid w:val="3A3E4729"/>
    <w:rsid w:val="3A476F2A"/>
    <w:rsid w:val="3A4C0E33"/>
    <w:rsid w:val="3A4C35D0"/>
    <w:rsid w:val="3A654202"/>
    <w:rsid w:val="3A675D63"/>
    <w:rsid w:val="3A684EE0"/>
    <w:rsid w:val="3A6A03E3"/>
    <w:rsid w:val="3A6A6623"/>
    <w:rsid w:val="3A727012"/>
    <w:rsid w:val="3A7E7084"/>
    <w:rsid w:val="3A96252C"/>
    <w:rsid w:val="3A987DF1"/>
    <w:rsid w:val="3A9F7948"/>
    <w:rsid w:val="3AA02CE4"/>
    <w:rsid w:val="3AA628ED"/>
    <w:rsid w:val="3AA90847"/>
    <w:rsid w:val="3AAC6356"/>
    <w:rsid w:val="3AB23C38"/>
    <w:rsid w:val="3ABA4B72"/>
    <w:rsid w:val="3AC708A8"/>
    <w:rsid w:val="3AC76FD5"/>
    <w:rsid w:val="3ACE1617"/>
    <w:rsid w:val="3AD31906"/>
    <w:rsid w:val="3AD76819"/>
    <w:rsid w:val="3AD969F8"/>
    <w:rsid w:val="3AE45251"/>
    <w:rsid w:val="3AE635B0"/>
    <w:rsid w:val="3AEF4E90"/>
    <w:rsid w:val="3AF40348"/>
    <w:rsid w:val="3AFD1BC4"/>
    <w:rsid w:val="3B050302"/>
    <w:rsid w:val="3B09606F"/>
    <w:rsid w:val="3B0A24EB"/>
    <w:rsid w:val="3B0D47D3"/>
    <w:rsid w:val="3B1D10C6"/>
    <w:rsid w:val="3B3368FE"/>
    <w:rsid w:val="3B3B2CBA"/>
    <w:rsid w:val="3B4C622A"/>
    <w:rsid w:val="3B5E1F75"/>
    <w:rsid w:val="3B6161E6"/>
    <w:rsid w:val="3B617677"/>
    <w:rsid w:val="3B696EE4"/>
    <w:rsid w:val="3B6A7A40"/>
    <w:rsid w:val="3B720C16"/>
    <w:rsid w:val="3B7F36AC"/>
    <w:rsid w:val="3B822235"/>
    <w:rsid w:val="3B830155"/>
    <w:rsid w:val="3B861D2E"/>
    <w:rsid w:val="3B8A3AEF"/>
    <w:rsid w:val="3B8E0546"/>
    <w:rsid w:val="3BA77DEB"/>
    <w:rsid w:val="3BBA100A"/>
    <w:rsid w:val="3BC16EB8"/>
    <w:rsid w:val="3BC25680"/>
    <w:rsid w:val="3BCA54DA"/>
    <w:rsid w:val="3BD34132"/>
    <w:rsid w:val="3BD653F5"/>
    <w:rsid w:val="3BD77A63"/>
    <w:rsid w:val="3BDB3703"/>
    <w:rsid w:val="3BE16ECF"/>
    <w:rsid w:val="3BE4213F"/>
    <w:rsid w:val="3BFF6F27"/>
    <w:rsid w:val="3C061489"/>
    <w:rsid w:val="3C095928"/>
    <w:rsid w:val="3C211965"/>
    <w:rsid w:val="3C271558"/>
    <w:rsid w:val="3C286614"/>
    <w:rsid w:val="3C3209A4"/>
    <w:rsid w:val="3C321F4D"/>
    <w:rsid w:val="3C365282"/>
    <w:rsid w:val="3C402634"/>
    <w:rsid w:val="3C493B58"/>
    <w:rsid w:val="3C4B0ED5"/>
    <w:rsid w:val="3C551FF9"/>
    <w:rsid w:val="3C5637BE"/>
    <w:rsid w:val="3C5F1DD5"/>
    <w:rsid w:val="3C5F2E1D"/>
    <w:rsid w:val="3C716882"/>
    <w:rsid w:val="3C88295C"/>
    <w:rsid w:val="3C8A3C61"/>
    <w:rsid w:val="3C8F5B6A"/>
    <w:rsid w:val="3C9A3EFB"/>
    <w:rsid w:val="3CA91418"/>
    <w:rsid w:val="3CAA3645"/>
    <w:rsid w:val="3CB064E9"/>
    <w:rsid w:val="3CB37024"/>
    <w:rsid w:val="3CBC1B56"/>
    <w:rsid w:val="3CBD75BF"/>
    <w:rsid w:val="3CBF0783"/>
    <w:rsid w:val="3CC33BCC"/>
    <w:rsid w:val="3CC5586D"/>
    <w:rsid w:val="3CCD3451"/>
    <w:rsid w:val="3CD15DA5"/>
    <w:rsid w:val="3CD641A1"/>
    <w:rsid w:val="3CD71CB8"/>
    <w:rsid w:val="3CD97DC0"/>
    <w:rsid w:val="3CE112D9"/>
    <w:rsid w:val="3CE2490A"/>
    <w:rsid w:val="3CE43661"/>
    <w:rsid w:val="3CE84A1C"/>
    <w:rsid w:val="3CEA648A"/>
    <w:rsid w:val="3CEB530C"/>
    <w:rsid w:val="3CF03605"/>
    <w:rsid w:val="3CF036C8"/>
    <w:rsid w:val="3CF63140"/>
    <w:rsid w:val="3CFB2C9B"/>
    <w:rsid w:val="3CFB7418"/>
    <w:rsid w:val="3D0772FE"/>
    <w:rsid w:val="3D0808A8"/>
    <w:rsid w:val="3D0E3159"/>
    <w:rsid w:val="3D146985"/>
    <w:rsid w:val="3D1502D9"/>
    <w:rsid w:val="3D353912"/>
    <w:rsid w:val="3D46422A"/>
    <w:rsid w:val="3D4D4818"/>
    <w:rsid w:val="3D555673"/>
    <w:rsid w:val="3D5657CC"/>
    <w:rsid w:val="3D5D2E26"/>
    <w:rsid w:val="3D5E6D3C"/>
    <w:rsid w:val="3D6200C1"/>
    <w:rsid w:val="3D666AC7"/>
    <w:rsid w:val="3D695D53"/>
    <w:rsid w:val="3D6C09D0"/>
    <w:rsid w:val="3D71233A"/>
    <w:rsid w:val="3D795AE8"/>
    <w:rsid w:val="3D856675"/>
    <w:rsid w:val="3D876DDA"/>
    <w:rsid w:val="3D895D82"/>
    <w:rsid w:val="3D8A08BF"/>
    <w:rsid w:val="3D8E5ECA"/>
    <w:rsid w:val="3D8F3247"/>
    <w:rsid w:val="3D902DB0"/>
    <w:rsid w:val="3D9049DE"/>
    <w:rsid w:val="3D9C2824"/>
    <w:rsid w:val="3DA24B18"/>
    <w:rsid w:val="3DA43C69"/>
    <w:rsid w:val="3DA93D8D"/>
    <w:rsid w:val="3DAA3D38"/>
    <w:rsid w:val="3DAE0540"/>
    <w:rsid w:val="3DAE642A"/>
    <w:rsid w:val="3DB21166"/>
    <w:rsid w:val="3DB52FFB"/>
    <w:rsid w:val="3DB55D40"/>
    <w:rsid w:val="3DB8637E"/>
    <w:rsid w:val="3DB932B8"/>
    <w:rsid w:val="3DBA2148"/>
    <w:rsid w:val="3DBA37DD"/>
    <w:rsid w:val="3DBF29D9"/>
    <w:rsid w:val="3DC729DF"/>
    <w:rsid w:val="3DCD6A49"/>
    <w:rsid w:val="3DDF3C84"/>
    <w:rsid w:val="3DE1484B"/>
    <w:rsid w:val="3DF204F5"/>
    <w:rsid w:val="3DF55B8D"/>
    <w:rsid w:val="3DF740D2"/>
    <w:rsid w:val="3DFB283E"/>
    <w:rsid w:val="3DFC1B15"/>
    <w:rsid w:val="3E091B54"/>
    <w:rsid w:val="3E117FD9"/>
    <w:rsid w:val="3E1B0B74"/>
    <w:rsid w:val="3E203026"/>
    <w:rsid w:val="3E2942BE"/>
    <w:rsid w:val="3E29452D"/>
    <w:rsid w:val="3E2C300D"/>
    <w:rsid w:val="3E2E356B"/>
    <w:rsid w:val="3E300439"/>
    <w:rsid w:val="3E300685"/>
    <w:rsid w:val="3E320B89"/>
    <w:rsid w:val="3E35171E"/>
    <w:rsid w:val="3E3906BC"/>
    <w:rsid w:val="3E4B38C2"/>
    <w:rsid w:val="3E4D4B98"/>
    <w:rsid w:val="3E5111EB"/>
    <w:rsid w:val="3E5648B2"/>
    <w:rsid w:val="3E593782"/>
    <w:rsid w:val="3E684241"/>
    <w:rsid w:val="3E75521D"/>
    <w:rsid w:val="3E7B6057"/>
    <w:rsid w:val="3E7B7B93"/>
    <w:rsid w:val="3E7F5015"/>
    <w:rsid w:val="3E7F7BA2"/>
    <w:rsid w:val="3E814901"/>
    <w:rsid w:val="3E83181D"/>
    <w:rsid w:val="3E83245B"/>
    <w:rsid w:val="3E8412E9"/>
    <w:rsid w:val="3E8F10CC"/>
    <w:rsid w:val="3E9328AF"/>
    <w:rsid w:val="3E9571B9"/>
    <w:rsid w:val="3E964C3B"/>
    <w:rsid w:val="3E9D7E49"/>
    <w:rsid w:val="3E9F1CBA"/>
    <w:rsid w:val="3EAB715E"/>
    <w:rsid w:val="3EB1094A"/>
    <w:rsid w:val="3EB6490C"/>
    <w:rsid w:val="3EBC27E6"/>
    <w:rsid w:val="3EC57D08"/>
    <w:rsid w:val="3EDA559F"/>
    <w:rsid w:val="3EDC10D0"/>
    <w:rsid w:val="3EE10368"/>
    <w:rsid w:val="3EE62176"/>
    <w:rsid w:val="3EE760FD"/>
    <w:rsid w:val="3EEB5E34"/>
    <w:rsid w:val="3EEF0B4C"/>
    <w:rsid w:val="3EF13BC7"/>
    <w:rsid w:val="3EF53D00"/>
    <w:rsid w:val="3EFD36E5"/>
    <w:rsid w:val="3EFE4E31"/>
    <w:rsid w:val="3F066B6D"/>
    <w:rsid w:val="3F082698"/>
    <w:rsid w:val="3F0B047D"/>
    <w:rsid w:val="3F0C4369"/>
    <w:rsid w:val="3F204B9F"/>
    <w:rsid w:val="3F226537"/>
    <w:rsid w:val="3F235B23"/>
    <w:rsid w:val="3F2F53AA"/>
    <w:rsid w:val="3F3412DE"/>
    <w:rsid w:val="3F382246"/>
    <w:rsid w:val="3F5A3A7F"/>
    <w:rsid w:val="3F5D2E4D"/>
    <w:rsid w:val="3F5E7CFF"/>
    <w:rsid w:val="3F5F1F5C"/>
    <w:rsid w:val="3F621396"/>
    <w:rsid w:val="3F661A90"/>
    <w:rsid w:val="3F6A5EE0"/>
    <w:rsid w:val="3F6A6298"/>
    <w:rsid w:val="3F8A14CB"/>
    <w:rsid w:val="3F9776C7"/>
    <w:rsid w:val="3F981365"/>
    <w:rsid w:val="3F9A65F0"/>
    <w:rsid w:val="3F9C6800"/>
    <w:rsid w:val="3F9E0865"/>
    <w:rsid w:val="3FA5009E"/>
    <w:rsid w:val="3FA57F1F"/>
    <w:rsid w:val="3FA770C3"/>
    <w:rsid w:val="3FA91ABC"/>
    <w:rsid w:val="3FB86017"/>
    <w:rsid w:val="3FBD02A0"/>
    <w:rsid w:val="3FBF796B"/>
    <w:rsid w:val="3FC47138"/>
    <w:rsid w:val="3FCC2AB9"/>
    <w:rsid w:val="3FD50D82"/>
    <w:rsid w:val="3FDB1475"/>
    <w:rsid w:val="3FDE5AD9"/>
    <w:rsid w:val="3FE56AF2"/>
    <w:rsid w:val="3FE710E5"/>
    <w:rsid w:val="3FED2123"/>
    <w:rsid w:val="3FF15942"/>
    <w:rsid w:val="3FFD0B4F"/>
    <w:rsid w:val="400739DE"/>
    <w:rsid w:val="40095919"/>
    <w:rsid w:val="400C5AA1"/>
    <w:rsid w:val="401818B4"/>
    <w:rsid w:val="401C7BD5"/>
    <w:rsid w:val="402417C8"/>
    <w:rsid w:val="40372073"/>
    <w:rsid w:val="403E6346"/>
    <w:rsid w:val="40427964"/>
    <w:rsid w:val="4044560B"/>
    <w:rsid w:val="40475A52"/>
    <w:rsid w:val="404F52A8"/>
    <w:rsid w:val="405A3622"/>
    <w:rsid w:val="407612BC"/>
    <w:rsid w:val="408753EB"/>
    <w:rsid w:val="4093304B"/>
    <w:rsid w:val="40B019A5"/>
    <w:rsid w:val="40B6211F"/>
    <w:rsid w:val="40BD6825"/>
    <w:rsid w:val="40BE58C5"/>
    <w:rsid w:val="40BE7685"/>
    <w:rsid w:val="40C00DC8"/>
    <w:rsid w:val="40C2573C"/>
    <w:rsid w:val="40CA7DEF"/>
    <w:rsid w:val="40D34024"/>
    <w:rsid w:val="40D43BA0"/>
    <w:rsid w:val="40DC106D"/>
    <w:rsid w:val="40E11862"/>
    <w:rsid w:val="40E241CE"/>
    <w:rsid w:val="40EA78D7"/>
    <w:rsid w:val="40F24054"/>
    <w:rsid w:val="40F90C23"/>
    <w:rsid w:val="40FA1665"/>
    <w:rsid w:val="41033B9B"/>
    <w:rsid w:val="41140D42"/>
    <w:rsid w:val="411E3A73"/>
    <w:rsid w:val="412912D7"/>
    <w:rsid w:val="413262C6"/>
    <w:rsid w:val="41366B89"/>
    <w:rsid w:val="41424C8E"/>
    <w:rsid w:val="415A3828"/>
    <w:rsid w:val="41643D6B"/>
    <w:rsid w:val="416579E9"/>
    <w:rsid w:val="41710BEB"/>
    <w:rsid w:val="41771599"/>
    <w:rsid w:val="41973029"/>
    <w:rsid w:val="419A7831"/>
    <w:rsid w:val="41A04E11"/>
    <w:rsid w:val="41B119D5"/>
    <w:rsid w:val="41B85F14"/>
    <w:rsid w:val="41BF7182"/>
    <w:rsid w:val="41C250B1"/>
    <w:rsid w:val="41C44DF2"/>
    <w:rsid w:val="41CC3DB5"/>
    <w:rsid w:val="41D33655"/>
    <w:rsid w:val="41D70F57"/>
    <w:rsid w:val="41DB0F0D"/>
    <w:rsid w:val="41F01FFD"/>
    <w:rsid w:val="41FF7556"/>
    <w:rsid w:val="420558C2"/>
    <w:rsid w:val="42057B28"/>
    <w:rsid w:val="421052B2"/>
    <w:rsid w:val="421538F8"/>
    <w:rsid w:val="42190CC2"/>
    <w:rsid w:val="421B5801"/>
    <w:rsid w:val="421E02C7"/>
    <w:rsid w:val="42256110"/>
    <w:rsid w:val="422C131F"/>
    <w:rsid w:val="422D344D"/>
    <w:rsid w:val="422F36E3"/>
    <w:rsid w:val="42382BB3"/>
    <w:rsid w:val="42391B89"/>
    <w:rsid w:val="42407C97"/>
    <w:rsid w:val="42433C14"/>
    <w:rsid w:val="42491125"/>
    <w:rsid w:val="425F740A"/>
    <w:rsid w:val="426E0618"/>
    <w:rsid w:val="427A44C2"/>
    <w:rsid w:val="427B109E"/>
    <w:rsid w:val="428377AF"/>
    <w:rsid w:val="42880654"/>
    <w:rsid w:val="428D14EF"/>
    <w:rsid w:val="428D483B"/>
    <w:rsid w:val="428F724E"/>
    <w:rsid w:val="429171E7"/>
    <w:rsid w:val="4296187E"/>
    <w:rsid w:val="429A3840"/>
    <w:rsid w:val="429B217F"/>
    <w:rsid w:val="429E0EC5"/>
    <w:rsid w:val="42A16D5F"/>
    <w:rsid w:val="42A65AF0"/>
    <w:rsid w:val="42AD56C6"/>
    <w:rsid w:val="42B14A56"/>
    <w:rsid w:val="42C22B17"/>
    <w:rsid w:val="42C268D5"/>
    <w:rsid w:val="42DF5839"/>
    <w:rsid w:val="42E874D3"/>
    <w:rsid w:val="42F300EE"/>
    <w:rsid w:val="42FA181F"/>
    <w:rsid w:val="42FC6174"/>
    <w:rsid w:val="42FF71DC"/>
    <w:rsid w:val="42FF7548"/>
    <w:rsid w:val="430314E9"/>
    <w:rsid w:val="431B0637"/>
    <w:rsid w:val="431B5892"/>
    <w:rsid w:val="431D225F"/>
    <w:rsid w:val="431F0701"/>
    <w:rsid w:val="43220206"/>
    <w:rsid w:val="432B1FC3"/>
    <w:rsid w:val="432D2E94"/>
    <w:rsid w:val="43367252"/>
    <w:rsid w:val="4339625B"/>
    <w:rsid w:val="433B14DC"/>
    <w:rsid w:val="43423544"/>
    <w:rsid w:val="43453FEA"/>
    <w:rsid w:val="434D155D"/>
    <w:rsid w:val="434F43C0"/>
    <w:rsid w:val="43553B58"/>
    <w:rsid w:val="43561D06"/>
    <w:rsid w:val="435E53D9"/>
    <w:rsid w:val="436454E1"/>
    <w:rsid w:val="43707CF2"/>
    <w:rsid w:val="437A0D2C"/>
    <w:rsid w:val="437D52A7"/>
    <w:rsid w:val="438607EE"/>
    <w:rsid w:val="438815DB"/>
    <w:rsid w:val="43911F91"/>
    <w:rsid w:val="4394491A"/>
    <w:rsid w:val="43984FD6"/>
    <w:rsid w:val="43997A97"/>
    <w:rsid w:val="439C4B3A"/>
    <w:rsid w:val="43A2197F"/>
    <w:rsid w:val="43A60B8B"/>
    <w:rsid w:val="43AE0196"/>
    <w:rsid w:val="43AE33E7"/>
    <w:rsid w:val="43B20F35"/>
    <w:rsid w:val="43BA39F7"/>
    <w:rsid w:val="43BD5DE5"/>
    <w:rsid w:val="43C0796C"/>
    <w:rsid w:val="43C42299"/>
    <w:rsid w:val="43CA6DF1"/>
    <w:rsid w:val="43CF3F4E"/>
    <w:rsid w:val="43D65E39"/>
    <w:rsid w:val="43D6606E"/>
    <w:rsid w:val="43D705EA"/>
    <w:rsid w:val="43E176EB"/>
    <w:rsid w:val="43E715F4"/>
    <w:rsid w:val="43F91BE1"/>
    <w:rsid w:val="43FE3B45"/>
    <w:rsid w:val="44031621"/>
    <w:rsid w:val="440740A8"/>
    <w:rsid w:val="440E72B6"/>
    <w:rsid w:val="441111D7"/>
    <w:rsid w:val="441255BD"/>
    <w:rsid w:val="441303B5"/>
    <w:rsid w:val="44182D17"/>
    <w:rsid w:val="44185647"/>
    <w:rsid w:val="441B2D48"/>
    <w:rsid w:val="441B7C86"/>
    <w:rsid w:val="441D0D39"/>
    <w:rsid w:val="4426495C"/>
    <w:rsid w:val="4449473C"/>
    <w:rsid w:val="444C64B0"/>
    <w:rsid w:val="444D54BA"/>
    <w:rsid w:val="445D3406"/>
    <w:rsid w:val="445E0FDC"/>
    <w:rsid w:val="446578C6"/>
    <w:rsid w:val="44705CD5"/>
    <w:rsid w:val="44742FDB"/>
    <w:rsid w:val="44775660"/>
    <w:rsid w:val="447C0BC0"/>
    <w:rsid w:val="44821021"/>
    <w:rsid w:val="44861641"/>
    <w:rsid w:val="4496054C"/>
    <w:rsid w:val="449C42CF"/>
    <w:rsid w:val="449D218D"/>
    <w:rsid w:val="449D508C"/>
    <w:rsid w:val="44A240DC"/>
    <w:rsid w:val="44AC00B9"/>
    <w:rsid w:val="44B15AF7"/>
    <w:rsid w:val="44B36E39"/>
    <w:rsid w:val="44BF70D9"/>
    <w:rsid w:val="44DF3D8B"/>
    <w:rsid w:val="44E0180C"/>
    <w:rsid w:val="44EA5165"/>
    <w:rsid w:val="44EB088C"/>
    <w:rsid w:val="44EC7013"/>
    <w:rsid w:val="44F02519"/>
    <w:rsid w:val="44F527F3"/>
    <w:rsid w:val="44F85B4A"/>
    <w:rsid w:val="44FA5EB5"/>
    <w:rsid w:val="44FB3AE3"/>
    <w:rsid w:val="44FF3C64"/>
    <w:rsid w:val="45037B20"/>
    <w:rsid w:val="45061393"/>
    <w:rsid w:val="450A44F7"/>
    <w:rsid w:val="45141B2F"/>
    <w:rsid w:val="45167B36"/>
    <w:rsid w:val="452D6503"/>
    <w:rsid w:val="45351D88"/>
    <w:rsid w:val="45353B4F"/>
    <w:rsid w:val="453B7947"/>
    <w:rsid w:val="453C63BD"/>
    <w:rsid w:val="45427AA4"/>
    <w:rsid w:val="45515DC5"/>
    <w:rsid w:val="455454A2"/>
    <w:rsid w:val="45564CA5"/>
    <w:rsid w:val="455B6233"/>
    <w:rsid w:val="456A6A48"/>
    <w:rsid w:val="456C211B"/>
    <w:rsid w:val="45751837"/>
    <w:rsid w:val="45780A86"/>
    <w:rsid w:val="457C3D14"/>
    <w:rsid w:val="45865E2C"/>
    <w:rsid w:val="45911A43"/>
    <w:rsid w:val="459425B5"/>
    <w:rsid w:val="45A16423"/>
    <w:rsid w:val="45A24E61"/>
    <w:rsid w:val="45A2580C"/>
    <w:rsid w:val="45AD2F61"/>
    <w:rsid w:val="45AE0358"/>
    <w:rsid w:val="45AE315F"/>
    <w:rsid w:val="45B457B5"/>
    <w:rsid w:val="45B70D57"/>
    <w:rsid w:val="45B95B90"/>
    <w:rsid w:val="45BD36E4"/>
    <w:rsid w:val="45C717E3"/>
    <w:rsid w:val="45C912D1"/>
    <w:rsid w:val="45DE2657"/>
    <w:rsid w:val="45EB2FC3"/>
    <w:rsid w:val="45F10EC5"/>
    <w:rsid w:val="45F16E50"/>
    <w:rsid w:val="460B5A77"/>
    <w:rsid w:val="460F4303"/>
    <w:rsid w:val="461B7E6D"/>
    <w:rsid w:val="462D20CB"/>
    <w:rsid w:val="462E7E70"/>
    <w:rsid w:val="463144E8"/>
    <w:rsid w:val="46375641"/>
    <w:rsid w:val="464442C4"/>
    <w:rsid w:val="464B6860"/>
    <w:rsid w:val="464D55E6"/>
    <w:rsid w:val="464E687C"/>
    <w:rsid w:val="46564D57"/>
    <w:rsid w:val="465950E5"/>
    <w:rsid w:val="465E7A7F"/>
    <w:rsid w:val="46621D09"/>
    <w:rsid w:val="466317E7"/>
    <w:rsid w:val="46633F07"/>
    <w:rsid w:val="4663778A"/>
    <w:rsid w:val="466E3CCD"/>
    <w:rsid w:val="4676381B"/>
    <w:rsid w:val="467744FD"/>
    <w:rsid w:val="467A64AB"/>
    <w:rsid w:val="467E2E98"/>
    <w:rsid w:val="468422FB"/>
    <w:rsid w:val="46872E38"/>
    <w:rsid w:val="469F5468"/>
    <w:rsid w:val="46A61C18"/>
    <w:rsid w:val="46A746F1"/>
    <w:rsid w:val="46A9603F"/>
    <w:rsid w:val="46AB2D98"/>
    <w:rsid w:val="46AF30F0"/>
    <w:rsid w:val="46B11A88"/>
    <w:rsid w:val="46B63991"/>
    <w:rsid w:val="46C661AA"/>
    <w:rsid w:val="46D046FE"/>
    <w:rsid w:val="46D05AF6"/>
    <w:rsid w:val="46D503F7"/>
    <w:rsid w:val="46E12276"/>
    <w:rsid w:val="46E35B46"/>
    <w:rsid w:val="46F03580"/>
    <w:rsid w:val="46F337F6"/>
    <w:rsid w:val="46F51A7F"/>
    <w:rsid w:val="46FF2844"/>
    <w:rsid w:val="47030510"/>
    <w:rsid w:val="4706377B"/>
    <w:rsid w:val="47140188"/>
    <w:rsid w:val="47143D2B"/>
    <w:rsid w:val="4714637D"/>
    <w:rsid w:val="471A2100"/>
    <w:rsid w:val="471A25BE"/>
    <w:rsid w:val="471F3AAF"/>
    <w:rsid w:val="471F4E9D"/>
    <w:rsid w:val="472055BF"/>
    <w:rsid w:val="47280D0D"/>
    <w:rsid w:val="47422AD1"/>
    <w:rsid w:val="4745087C"/>
    <w:rsid w:val="47456240"/>
    <w:rsid w:val="47541F31"/>
    <w:rsid w:val="47546D12"/>
    <w:rsid w:val="475F0C6A"/>
    <w:rsid w:val="476B7898"/>
    <w:rsid w:val="47700B34"/>
    <w:rsid w:val="47736CA5"/>
    <w:rsid w:val="477A6B40"/>
    <w:rsid w:val="47862D65"/>
    <w:rsid w:val="47A07192"/>
    <w:rsid w:val="47B32E9C"/>
    <w:rsid w:val="47CA145E"/>
    <w:rsid w:val="47D408E5"/>
    <w:rsid w:val="47D84D6D"/>
    <w:rsid w:val="47E2384A"/>
    <w:rsid w:val="47E32FBE"/>
    <w:rsid w:val="47E339CF"/>
    <w:rsid w:val="47F230D2"/>
    <w:rsid w:val="47F50A1B"/>
    <w:rsid w:val="47FE72F3"/>
    <w:rsid w:val="48020130"/>
    <w:rsid w:val="48071839"/>
    <w:rsid w:val="480B19F6"/>
    <w:rsid w:val="4814431A"/>
    <w:rsid w:val="481B604A"/>
    <w:rsid w:val="48212AE9"/>
    <w:rsid w:val="482728EE"/>
    <w:rsid w:val="483260DA"/>
    <w:rsid w:val="484D3110"/>
    <w:rsid w:val="485C2B97"/>
    <w:rsid w:val="486C4CE7"/>
    <w:rsid w:val="48782345"/>
    <w:rsid w:val="488E5795"/>
    <w:rsid w:val="489713C3"/>
    <w:rsid w:val="48A06010"/>
    <w:rsid w:val="48A262B1"/>
    <w:rsid w:val="48A61EC2"/>
    <w:rsid w:val="48BA3284"/>
    <w:rsid w:val="48C76BF4"/>
    <w:rsid w:val="48CB1CC0"/>
    <w:rsid w:val="48CE1945"/>
    <w:rsid w:val="48E155A0"/>
    <w:rsid w:val="48F07DB8"/>
    <w:rsid w:val="48FD3D61"/>
    <w:rsid w:val="48FF7F12"/>
    <w:rsid w:val="4901192F"/>
    <w:rsid w:val="49013C23"/>
    <w:rsid w:val="490A52ED"/>
    <w:rsid w:val="49163580"/>
    <w:rsid w:val="49163EF7"/>
    <w:rsid w:val="491E6E1E"/>
    <w:rsid w:val="491F7F64"/>
    <w:rsid w:val="49256F8E"/>
    <w:rsid w:val="492A1BD4"/>
    <w:rsid w:val="492B6918"/>
    <w:rsid w:val="49301B95"/>
    <w:rsid w:val="494552C4"/>
    <w:rsid w:val="494A2558"/>
    <w:rsid w:val="495132D5"/>
    <w:rsid w:val="49582843"/>
    <w:rsid w:val="496C5184"/>
    <w:rsid w:val="49733467"/>
    <w:rsid w:val="497A1F1B"/>
    <w:rsid w:val="499340F1"/>
    <w:rsid w:val="499872CD"/>
    <w:rsid w:val="49997039"/>
    <w:rsid w:val="49A418F2"/>
    <w:rsid w:val="49A5443C"/>
    <w:rsid w:val="49B73A15"/>
    <w:rsid w:val="49B947C8"/>
    <w:rsid w:val="49C00D42"/>
    <w:rsid w:val="49C8100A"/>
    <w:rsid w:val="49DF1C3F"/>
    <w:rsid w:val="49E70C5B"/>
    <w:rsid w:val="49EC0159"/>
    <w:rsid w:val="49F81C14"/>
    <w:rsid w:val="49FF2037"/>
    <w:rsid w:val="4A041E7F"/>
    <w:rsid w:val="4A0A7F62"/>
    <w:rsid w:val="4A143C42"/>
    <w:rsid w:val="4A1D00AC"/>
    <w:rsid w:val="4A270A04"/>
    <w:rsid w:val="4A2C2648"/>
    <w:rsid w:val="4A3E54DC"/>
    <w:rsid w:val="4A414188"/>
    <w:rsid w:val="4A431D85"/>
    <w:rsid w:val="4A47591B"/>
    <w:rsid w:val="4A4C4C82"/>
    <w:rsid w:val="4A4F3650"/>
    <w:rsid w:val="4A6F608D"/>
    <w:rsid w:val="4A712069"/>
    <w:rsid w:val="4A727A89"/>
    <w:rsid w:val="4A7346BA"/>
    <w:rsid w:val="4A8232F8"/>
    <w:rsid w:val="4A885CE1"/>
    <w:rsid w:val="4A8D6109"/>
    <w:rsid w:val="4A921070"/>
    <w:rsid w:val="4A9452E5"/>
    <w:rsid w:val="4A9563B7"/>
    <w:rsid w:val="4A9F2D3A"/>
    <w:rsid w:val="4A9F49CA"/>
    <w:rsid w:val="4AA8466E"/>
    <w:rsid w:val="4ABA22E0"/>
    <w:rsid w:val="4ABE4F66"/>
    <w:rsid w:val="4ABF0894"/>
    <w:rsid w:val="4ACB6941"/>
    <w:rsid w:val="4ACE11C7"/>
    <w:rsid w:val="4AD51544"/>
    <w:rsid w:val="4ADB4E28"/>
    <w:rsid w:val="4AE922E8"/>
    <w:rsid w:val="4AF16114"/>
    <w:rsid w:val="4AF26882"/>
    <w:rsid w:val="4AF51588"/>
    <w:rsid w:val="4AF75899"/>
    <w:rsid w:val="4AFA71F1"/>
    <w:rsid w:val="4B170E1E"/>
    <w:rsid w:val="4B1A46C6"/>
    <w:rsid w:val="4B1F1A9E"/>
    <w:rsid w:val="4B2517BD"/>
    <w:rsid w:val="4B2C35A3"/>
    <w:rsid w:val="4B333D7A"/>
    <w:rsid w:val="4B3422A0"/>
    <w:rsid w:val="4B380A88"/>
    <w:rsid w:val="4B3A6CE8"/>
    <w:rsid w:val="4B3D3D17"/>
    <w:rsid w:val="4B4D3A8C"/>
    <w:rsid w:val="4B5523AC"/>
    <w:rsid w:val="4B745559"/>
    <w:rsid w:val="4B835B73"/>
    <w:rsid w:val="4B847D71"/>
    <w:rsid w:val="4B891C7B"/>
    <w:rsid w:val="4B8A76FC"/>
    <w:rsid w:val="4B946474"/>
    <w:rsid w:val="4B951311"/>
    <w:rsid w:val="4BAD664B"/>
    <w:rsid w:val="4BAF3A38"/>
    <w:rsid w:val="4BB00A6D"/>
    <w:rsid w:val="4BB22029"/>
    <w:rsid w:val="4BB31E0A"/>
    <w:rsid w:val="4BB3503D"/>
    <w:rsid w:val="4BB8525F"/>
    <w:rsid w:val="4BC4137A"/>
    <w:rsid w:val="4BC6655C"/>
    <w:rsid w:val="4BC74E08"/>
    <w:rsid w:val="4BCA04E6"/>
    <w:rsid w:val="4BD07997"/>
    <w:rsid w:val="4BD340CB"/>
    <w:rsid w:val="4BD8153E"/>
    <w:rsid w:val="4BD86F5D"/>
    <w:rsid w:val="4BD92CFF"/>
    <w:rsid w:val="4BDF3E16"/>
    <w:rsid w:val="4BE6762A"/>
    <w:rsid w:val="4BED43FF"/>
    <w:rsid w:val="4BF37DB0"/>
    <w:rsid w:val="4BF67B62"/>
    <w:rsid w:val="4BFC6546"/>
    <w:rsid w:val="4C0F6414"/>
    <w:rsid w:val="4C1003D8"/>
    <w:rsid w:val="4C1E5E77"/>
    <w:rsid w:val="4C2C57BF"/>
    <w:rsid w:val="4C352DA8"/>
    <w:rsid w:val="4C366477"/>
    <w:rsid w:val="4C38466F"/>
    <w:rsid w:val="4C3933C2"/>
    <w:rsid w:val="4C3E433E"/>
    <w:rsid w:val="4C3F26D9"/>
    <w:rsid w:val="4C5237AB"/>
    <w:rsid w:val="4C575B4B"/>
    <w:rsid w:val="4C6F66E5"/>
    <w:rsid w:val="4C73547C"/>
    <w:rsid w:val="4C786851"/>
    <w:rsid w:val="4C794520"/>
    <w:rsid w:val="4C804791"/>
    <w:rsid w:val="4C836CED"/>
    <w:rsid w:val="4C876AB2"/>
    <w:rsid w:val="4C8D6069"/>
    <w:rsid w:val="4C942881"/>
    <w:rsid w:val="4CA24C4C"/>
    <w:rsid w:val="4CA45C4B"/>
    <w:rsid w:val="4CAF0F2A"/>
    <w:rsid w:val="4CAF266F"/>
    <w:rsid w:val="4CB34C20"/>
    <w:rsid w:val="4CB9155D"/>
    <w:rsid w:val="4CC13ECD"/>
    <w:rsid w:val="4CD020F9"/>
    <w:rsid w:val="4CD53C2C"/>
    <w:rsid w:val="4CD82C22"/>
    <w:rsid w:val="4CF643D0"/>
    <w:rsid w:val="4CF81387"/>
    <w:rsid w:val="4CF918A7"/>
    <w:rsid w:val="4CFD75DE"/>
    <w:rsid w:val="4CFE5060"/>
    <w:rsid w:val="4D016E80"/>
    <w:rsid w:val="4D0B17EF"/>
    <w:rsid w:val="4D0D1DF7"/>
    <w:rsid w:val="4D0E4802"/>
    <w:rsid w:val="4D1A110D"/>
    <w:rsid w:val="4D1A6F0E"/>
    <w:rsid w:val="4D2F7723"/>
    <w:rsid w:val="4D337AB8"/>
    <w:rsid w:val="4D352FBB"/>
    <w:rsid w:val="4D3C40FD"/>
    <w:rsid w:val="4D406BD1"/>
    <w:rsid w:val="4D4E5E6E"/>
    <w:rsid w:val="4D5047B5"/>
    <w:rsid w:val="4D605A45"/>
    <w:rsid w:val="4D740E4B"/>
    <w:rsid w:val="4D76573F"/>
    <w:rsid w:val="4D786A89"/>
    <w:rsid w:val="4D7C07CD"/>
    <w:rsid w:val="4D831E51"/>
    <w:rsid w:val="4D8465BE"/>
    <w:rsid w:val="4D922813"/>
    <w:rsid w:val="4D9D186C"/>
    <w:rsid w:val="4DA02384"/>
    <w:rsid w:val="4DA44E4F"/>
    <w:rsid w:val="4DA94850"/>
    <w:rsid w:val="4DAB2BFA"/>
    <w:rsid w:val="4DAF7402"/>
    <w:rsid w:val="4DAF7454"/>
    <w:rsid w:val="4DB33889"/>
    <w:rsid w:val="4DBB5413"/>
    <w:rsid w:val="4DC04F72"/>
    <w:rsid w:val="4DCE74AD"/>
    <w:rsid w:val="4DE44BB5"/>
    <w:rsid w:val="4DE52C3E"/>
    <w:rsid w:val="4DE962E2"/>
    <w:rsid w:val="4DEF3212"/>
    <w:rsid w:val="4DF31EEA"/>
    <w:rsid w:val="4DF521AC"/>
    <w:rsid w:val="4DFD4F82"/>
    <w:rsid w:val="4DFF2684"/>
    <w:rsid w:val="4DFF7568"/>
    <w:rsid w:val="4E0A2800"/>
    <w:rsid w:val="4E0D58C8"/>
    <w:rsid w:val="4E3573CC"/>
    <w:rsid w:val="4E3D6F61"/>
    <w:rsid w:val="4E5079C5"/>
    <w:rsid w:val="4E623BD3"/>
    <w:rsid w:val="4E63198C"/>
    <w:rsid w:val="4E6B77B5"/>
    <w:rsid w:val="4E6E603C"/>
    <w:rsid w:val="4E7906E7"/>
    <w:rsid w:val="4E837C45"/>
    <w:rsid w:val="4E8812E3"/>
    <w:rsid w:val="4E8F0C6E"/>
    <w:rsid w:val="4E901205"/>
    <w:rsid w:val="4E993495"/>
    <w:rsid w:val="4E9C3F79"/>
    <w:rsid w:val="4EA30D9D"/>
    <w:rsid w:val="4EA31AE4"/>
    <w:rsid w:val="4EB2058C"/>
    <w:rsid w:val="4EB5692F"/>
    <w:rsid w:val="4EB60C48"/>
    <w:rsid w:val="4EB77C34"/>
    <w:rsid w:val="4EBF35DF"/>
    <w:rsid w:val="4ED513E2"/>
    <w:rsid w:val="4EDE147E"/>
    <w:rsid w:val="4EEA3967"/>
    <w:rsid w:val="4EEE2FCC"/>
    <w:rsid w:val="4EEF1B44"/>
    <w:rsid w:val="4EF03291"/>
    <w:rsid w:val="4EF10D13"/>
    <w:rsid w:val="4EFC389E"/>
    <w:rsid w:val="4F065435"/>
    <w:rsid w:val="4F0A27C3"/>
    <w:rsid w:val="4F0F005F"/>
    <w:rsid w:val="4F165D52"/>
    <w:rsid w:val="4F170F52"/>
    <w:rsid w:val="4F1B36C1"/>
    <w:rsid w:val="4F1B7277"/>
    <w:rsid w:val="4F1D369F"/>
    <w:rsid w:val="4F213A90"/>
    <w:rsid w:val="4F290247"/>
    <w:rsid w:val="4F2A1BE1"/>
    <w:rsid w:val="4F323CD2"/>
    <w:rsid w:val="4F332C0A"/>
    <w:rsid w:val="4F343756"/>
    <w:rsid w:val="4F3771FC"/>
    <w:rsid w:val="4F3D590F"/>
    <w:rsid w:val="4F433DC8"/>
    <w:rsid w:val="4F4364BE"/>
    <w:rsid w:val="4F47041D"/>
    <w:rsid w:val="4F4B51A5"/>
    <w:rsid w:val="4F4C48A4"/>
    <w:rsid w:val="4F5328A1"/>
    <w:rsid w:val="4F545D86"/>
    <w:rsid w:val="4F5C69E2"/>
    <w:rsid w:val="4F5E0042"/>
    <w:rsid w:val="4F672E4B"/>
    <w:rsid w:val="4F813B2E"/>
    <w:rsid w:val="4F834A60"/>
    <w:rsid w:val="4F94051C"/>
    <w:rsid w:val="4F9B5FF9"/>
    <w:rsid w:val="4F9F432E"/>
    <w:rsid w:val="4FA14EEC"/>
    <w:rsid w:val="4FA407B6"/>
    <w:rsid w:val="4FA84227"/>
    <w:rsid w:val="4FA8439D"/>
    <w:rsid w:val="4FAA1C98"/>
    <w:rsid w:val="4FAF6B47"/>
    <w:rsid w:val="4FB11D0A"/>
    <w:rsid w:val="4FBC3C5F"/>
    <w:rsid w:val="4FC04863"/>
    <w:rsid w:val="4FC15B68"/>
    <w:rsid w:val="4FC231DA"/>
    <w:rsid w:val="4FC3075F"/>
    <w:rsid w:val="4FC77B7E"/>
    <w:rsid w:val="4FCD5398"/>
    <w:rsid w:val="4FD64808"/>
    <w:rsid w:val="4FE223EE"/>
    <w:rsid w:val="4FE3097A"/>
    <w:rsid w:val="4FE51543"/>
    <w:rsid w:val="4FF64D3D"/>
    <w:rsid w:val="4FFD3A77"/>
    <w:rsid w:val="4FFD46C8"/>
    <w:rsid w:val="50142188"/>
    <w:rsid w:val="501B6F55"/>
    <w:rsid w:val="501F4F53"/>
    <w:rsid w:val="501F59A7"/>
    <w:rsid w:val="50235924"/>
    <w:rsid w:val="50290A0F"/>
    <w:rsid w:val="502D3FBD"/>
    <w:rsid w:val="503642D7"/>
    <w:rsid w:val="503D3F59"/>
    <w:rsid w:val="503E02C1"/>
    <w:rsid w:val="50495DA1"/>
    <w:rsid w:val="505B02E5"/>
    <w:rsid w:val="50640487"/>
    <w:rsid w:val="50650862"/>
    <w:rsid w:val="50656382"/>
    <w:rsid w:val="50681179"/>
    <w:rsid w:val="50701B84"/>
    <w:rsid w:val="5075308D"/>
    <w:rsid w:val="50777CE9"/>
    <w:rsid w:val="508126D0"/>
    <w:rsid w:val="508436A7"/>
    <w:rsid w:val="5095674A"/>
    <w:rsid w:val="509B32CD"/>
    <w:rsid w:val="50A01EE7"/>
    <w:rsid w:val="50A5118E"/>
    <w:rsid w:val="50A6221C"/>
    <w:rsid w:val="50AC4C20"/>
    <w:rsid w:val="50B61B8B"/>
    <w:rsid w:val="50B72BFD"/>
    <w:rsid w:val="50B928D0"/>
    <w:rsid w:val="50C13C5F"/>
    <w:rsid w:val="50C16C1C"/>
    <w:rsid w:val="50C54111"/>
    <w:rsid w:val="50C577D9"/>
    <w:rsid w:val="50CC5221"/>
    <w:rsid w:val="50DA6635"/>
    <w:rsid w:val="50DD75B9"/>
    <w:rsid w:val="50E00158"/>
    <w:rsid w:val="50E8434B"/>
    <w:rsid w:val="50F0291C"/>
    <w:rsid w:val="50F04F55"/>
    <w:rsid w:val="50F471DE"/>
    <w:rsid w:val="50F5073D"/>
    <w:rsid w:val="51016883"/>
    <w:rsid w:val="510703FD"/>
    <w:rsid w:val="51103841"/>
    <w:rsid w:val="51183F80"/>
    <w:rsid w:val="51201CFF"/>
    <w:rsid w:val="51241B8B"/>
    <w:rsid w:val="51286AE9"/>
    <w:rsid w:val="512963B4"/>
    <w:rsid w:val="514C5F8F"/>
    <w:rsid w:val="515B1B8F"/>
    <w:rsid w:val="51617293"/>
    <w:rsid w:val="516C5BB7"/>
    <w:rsid w:val="517A4EB9"/>
    <w:rsid w:val="51881606"/>
    <w:rsid w:val="518E2820"/>
    <w:rsid w:val="51915172"/>
    <w:rsid w:val="51AC5137"/>
    <w:rsid w:val="51B463DB"/>
    <w:rsid w:val="51BE68A7"/>
    <w:rsid w:val="51C31254"/>
    <w:rsid w:val="51C979DD"/>
    <w:rsid w:val="51E03964"/>
    <w:rsid w:val="51E11DA9"/>
    <w:rsid w:val="51E36417"/>
    <w:rsid w:val="51FD7691"/>
    <w:rsid w:val="520619A9"/>
    <w:rsid w:val="520A22AE"/>
    <w:rsid w:val="520E5D83"/>
    <w:rsid w:val="52132015"/>
    <w:rsid w:val="521450B8"/>
    <w:rsid w:val="52210B4A"/>
    <w:rsid w:val="52247A0F"/>
    <w:rsid w:val="522A0FEB"/>
    <w:rsid w:val="522E5C61"/>
    <w:rsid w:val="52301165"/>
    <w:rsid w:val="52337DB7"/>
    <w:rsid w:val="52383966"/>
    <w:rsid w:val="52385792"/>
    <w:rsid w:val="523D42DD"/>
    <w:rsid w:val="523F6AFF"/>
    <w:rsid w:val="524F31BF"/>
    <w:rsid w:val="52514A0D"/>
    <w:rsid w:val="52691264"/>
    <w:rsid w:val="5273265C"/>
    <w:rsid w:val="527833B2"/>
    <w:rsid w:val="528506DC"/>
    <w:rsid w:val="52853336"/>
    <w:rsid w:val="52881D50"/>
    <w:rsid w:val="52991222"/>
    <w:rsid w:val="529B3EC4"/>
    <w:rsid w:val="529B60BF"/>
    <w:rsid w:val="529C7876"/>
    <w:rsid w:val="529D6E9F"/>
    <w:rsid w:val="529F18E6"/>
    <w:rsid w:val="52BB569C"/>
    <w:rsid w:val="52BE7E17"/>
    <w:rsid w:val="52C23008"/>
    <w:rsid w:val="52CB118B"/>
    <w:rsid w:val="52D65176"/>
    <w:rsid w:val="52D8483E"/>
    <w:rsid w:val="52DB19FD"/>
    <w:rsid w:val="52EE339D"/>
    <w:rsid w:val="5306292A"/>
    <w:rsid w:val="530822C8"/>
    <w:rsid w:val="530869BB"/>
    <w:rsid w:val="5314426D"/>
    <w:rsid w:val="531B0AE8"/>
    <w:rsid w:val="531C2067"/>
    <w:rsid w:val="531D1AFE"/>
    <w:rsid w:val="53225819"/>
    <w:rsid w:val="5328232F"/>
    <w:rsid w:val="53324996"/>
    <w:rsid w:val="533A4153"/>
    <w:rsid w:val="533E1E81"/>
    <w:rsid w:val="535321C1"/>
    <w:rsid w:val="535940CA"/>
    <w:rsid w:val="536C33CB"/>
    <w:rsid w:val="536F3F83"/>
    <w:rsid w:val="536F7061"/>
    <w:rsid w:val="53702921"/>
    <w:rsid w:val="53703E8D"/>
    <w:rsid w:val="53707DDE"/>
    <w:rsid w:val="537D60B6"/>
    <w:rsid w:val="537E0058"/>
    <w:rsid w:val="538B3AD3"/>
    <w:rsid w:val="539223BE"/>
    <w:rsid w:val="53950AA6"/>
    <w:rsid w:val="539D38BA"/>
    <w:rsid w:val="53A876CC"/>
    <w:rsid w:val="53BF5670"/>
    <w:rsid w:val="53C502CE"/>
    <w:rsid w:val="53CD3C00"/>
    <w:rsid w:val="53D02F55"/>
    <w:rsid w:val="53E12D9E"/>
    <w:rsid w:val="53E64B1C"/>
    <w:rsid w:val="53E8652B"/>
    <w:rsid w:val="53EB486A"/>
    <w:rsid w:val="53EE67E9"/>
    <w:rsid w:val="53F342C8"/>
    <w:rsid w:val="53FD1C03"/>
    <w:rsid w:val="54020BC2"/>
    <w:rsid w:val="540310FA"/>
    <w:rsid w:val="54037045"/>
    <w:rsid w:val="540374BC"/>
    <w:rsid w:val="540632E9"/>
    <w:rsid w:val="54074DF8"/>
    <w:rsid w:val="540817F6"/>
    <w:rsid w:val="54105691"/>
    <w:rsid w:val="541212FA"/>
    <w:rsid w:val="54140080"/>
    <w:rsid w:val="54270E2A"/>
    <w:rsid w:val="543E515D"/>
    <w:rsid w:val="543F413B"/>
    <w:rsid w:val="54494075"/>
    <w:rsid w:val="544B0D54"/>
    <w:rsid w:val="544C2897"/>
    <w:rsid w:val="544F115F"/>
    <w:rsid w:val="545574C5"/>
    <w:rsid w:val="54591CDE"/>
    <w:rsid w:val="545C6276"/>
    <w:rsid w:val="545E6E73"/>
    <w:rsid w:val="54625354"/>
    <w:rsid w:val="547E1CAE"/>
    <w:rsid w:val="54833666"/>
    <w:rsid w:val="54984A43"/>
    <w:rsid w:val="54BA080E"/>
    <w:rsid w:val="54C557E7"/>
    <w:rsid w:val="54C65EC0"/>
    <w:rsid w:val="54D43100"/>
    <w:rsid w:val="54DD1CC8"/>
    <w:rsid w:val="54F87B39"/>
    <w:rsid w:val="54FE451C"/>
    <w:rsid w:val="55187800"/>
    <w:rsid w:val="551A610F"/>
    <w:rsid w:val="55243733"/>
    <w:rsid w:val="552557D6"/>
    <w:rsid w:val="552760F6"/>
    <w:rsid w:val="552A09F4"/>
    <w:rsid w:val="552D2D4B"/>
    <w:rsid w:val="553079A4"/>
    <w:rsid w:val="5532296D"/>
    <w:rsid w:val="55372936"/>
    <w:rsid w:val="553C3366"/>
    <w:rsid w:val="55465E74"/>
    <w:rsid w:val="55472CA4"/>
    <w:rsid w:val="55481377"/>
    <w:rsid w:val="554B22FB"/>
    <w:rsid w:val="554D4D81"/>
    <w:rsid w:val="555154EE"/>
    <w:rsid w:val="5556068C"/>
    <w:rsid w:val="556E73EF"/>
    <w:rsid w:val="557B2E4B"/>
    <w:rsid w:val="558D1E6B"/>
    <w:rsid w:val="558F4A1E"/>
    <w:rsid w:val="55911D3B"/>
    <w:rsid w:val="55942252"/>
    <w:rsid w:val="55966EF8"/>
    <w:rsid w:val="55987FBD"/>
    <w:rsid w:val="559A4E37"/>
    <w:rsid w:val="559C5DB5"/>
    <w:rsid w:val="55AC361A"/>
    <w:rsid w:val="55B07AA1"/>
    <w:rsid w:val="55B22FA5"/>
    <w:rsid w:val="55B41C64"/>
    <w:rsid w:val="55B654BF"/>
    <w:rsid w:val="55EC1E85"/>
    <w:rsid w:val="55EC2897"/>
    <w:rsid w:val="55F5623C"/>
    <w:rsid w:val="55FA242D"/>
    <w:rsid w:val="55FA6DE6"/>
    <w:rsid w:val="55FB6EF0"/>
    <w:rsid w:val="55FF5BFA"/>
    <w:rsid w:val="560378AC"/>
    <w:rsid w:val="56073E8B"/>
    <w:rsid w:val="5624057A"/>
    <w:rsid w:val="56242F27"/>
    <w:rsid w:val="562B51ED"/>
    <w:rsid w:val="5630640C"/>
    <w:rsid w:val="56376A81"/>
    <w:rsid w:val="564F1C59"/>
    <w:rsid w:val="5652120D"/>
    <w:rsid w:val="5652511E"/>
    <w:rsid w:val="56543A0D"/>
    <w:rsid w:val="565A7488"/>
    <w:rsid w:val="56614AC6"/>
    <w:rsid w:val="56663D4D"/>
    <w:rsid w:val="566B50BC"/>
    <w:rsid w:val="56760CC4"/>
    <w:rsid w:val="567C3CF2"/>
    <w:rsid w:val="568E5A7A"/>
    <w:rsid w:val="56974F90"/>
    <w:rsid w:val="569E1AC8"/>
    <w:rsid w:val="56A4132F"/>
    <w:rsid w:val="56A45460"/>
    <w:rsid w:val="56A81C8B"/>
    <w:rsid w:val="56AC279F"/>
    <w:rsid w:val="56AF2E6F"/>
    <w:rsid w:val="56B4565D"/>
    <w:rsid w:val="56BB7AC5"/>
    <w:rsid w:val="56C9056E"/>
    <w:rsid w:val="56DB3D0C"/>
    <w:rsid w:val="56DC160C"/>
    <w:rsid w:val="56DF0963"/>
    <w:rsid w:val="56E11FFE"/>
    <w:rsid w:val="56E2575C"/>
    <w:rsid w:val="56F37D3E"/>
    <w:rsid w:val="56F473C0"/>
    <w:rsid w:val="56FD3D8C"/>
    <w:rsid w:val="57031E3D"/>
    <w:rsid w:val="57065F83"/>
    <w:rsid w:val="57090CD1"/>
    <w:rsid w:val="57097BE4"/>
    <w:rsid w:val="570B6550"/>
    <w:rsid w:val="570E4C1D"/>
    <w:rsid w:val="571635F3"/>
    <w:rsid w:val="57196157"/>
    <w:rsid w:val="571B2939"/>
    <w:rsid w:val="571D7FF8"/>
    <w:rsid w:val="57283E0B"/>
    <w:rsid w:val="57295110"/>
    <w:rsid w:val="57427E88"/>
    <w:rsid w:val="57484C26"/>
    <w:rsid w:val="57561457"/>
    <w:rsid w:val="5758628A"/>
    <w:rsid w:val="575A0C81"/>
    <w:rsid w:val="575E6A47"/>
    <w:rsid w:val="5761173E"/>
    <w:rsid w:val="57617889"/>
    <w:rsid w:val="57632AF2"/>
    <w:rsid w:val="57684BF4"/>
    <w:rsid w:val="576D4086"/>
    <w:rsid w:val="576E6D0C"/>
    <w:rsid w:val="57713185"/>
    <w:rsid w:val="577175E0"/>
    <w:rsid w:val="57745BB6"/>
    <w:rsid w:val="57776D7C"/>
    <w:rsid w:val="577D5302"/>
    <w:rsid w:val="5780798D"/>
    <w:rsid w:val="57814D52"/>
    <w:rsid w:val="57855787"/>
    <w:rsid w:val="578A1BF3"/>
    <w:rsid w:val="578B60AE"/>
    <w:rsid w:val="579953C3"/>
    <w:rsid w:val="579A2E45"/>
    <w:rsid w:val="579D4D85"/>
    <w:rsid w:val="57A17F6F"/>
    <w:rsid w:val="57A77F5C"/>
    <w:rsid w:val="57B02739"/>
    <w:rsid w:val="57B674EC"/>
    <w:rsid w:val="57BA13EC"/>
    <w:rsid w:val="57BD6C04"/>
    <w:rsid w:val="57C51573"/>
    <w:rsid w:val="57D02FC4"/>
    <w:rsid w:val="57D6036B"/>
    <w:rsid w:val="57DE28CC"/>
    <w:rsid w:val="57DF5F8B"/>
    <w:rsid w:val="57E646CD"/>
    <w:rsid w:val="57F325DA"/>
    <w:rsid w:val="57F57CDB"/>
    <w:rsid w:val="57FF606E"/>
    <w:rsid w:val="580524F4"/>
    <w:rsid w:val="580716CC"/>
    <w:rsid w:val="58076362"/>
    <w:rsid w:val="580E08D8"/>
    <w:rsid w:val="58220A26"/>
    <w:rsid w:val="582738C9"/>
    <w:rsid w:val="582E7A95"/>
    <w:rsid w:val="58381DBD"/>
    <w:rsid w:val="5839086E"/>
    <w:rsid w:val="58394C38"/>
    <w:rsid w:val="58423CCA"/>
    <w:rsid w:val="584B7C06"/>
    <w:rsid w:val="58510290"/>
    <w:rsid w:val="58553705"/>
    <w:rsid w:val="5855370B"/>
    <w:rsid w:val="58590F71"/>
    <w:rsid w:val="58695A9C"/>
    <w:rsid w:val="58750991"/>
    <w:rsid w:val="58774DB2"/>
    <w:rsid w:val="589C176E"/>
    <w:rsid w:val="58A4109F"/>
    <w:rsid w:val="58B31DD9"/>
    <w:rsid w:val="58B32AFD"/>
    <w:rsid w:val="58B91125"/>
    <w:rsid w:val="58C33050"/>
    <w:rsid w:val="58C33B43"/>
    <w:rsid w:val="58C64CF3"/>
    <w:rsid w:val="58CB3B78"/>
    <w:rsid w:val="58CE1CCF"/>
    <w:rsid w:val="58D21B64"/>
    <w:rsid w:val="58E1168D"/>
    <w:rsid w:val="58EE2472"/>
    <w:rsid w:val="58F22C4C"/>
    <w:rsid w:val="58F60569"/>
    <w:rsid w:val="58FA7086"/>
    <w:rsid w:val="590A18DC"/>
    <w:rsid w:val="590D2328"/>
    <w:rsid w:val="590F51DD"/>
    <w:rsid w:val="59232C0B"/>
    <w:rsid w:val="59253C51"/>
    <w:rsid w:val="59342BE6"/>
    <w:rsid w:val="593A62F9"/>
    <w:rsid w:val="593E34F6"/>
    <w:rsid w:val="59447376"/>
    <w:rsid w:val="59471C07"/>
    <w:rsid w:val="594D06B7"/>
    <w:rsid w:val="594E4C34"/>
    <w:rsid w:val="5952037F"/>
    <w:rsid w:val="59533276"/>
    <w:rsid w:val="59561B11"/>
    <w:rsid w:val="5956560A"/>
    <w:rsid w:val="595B4CF8"/>
    <w:rsid w:val="59600D8B"/>
    <w:rsid w:val="5964723E"/>
    <w:rsid w:val="59672838"/>
    <w:rsid w:val="59820767"/>
    <w:rsid w:val="59876FC0"/>
    <w:rsid w:val="598A6F73"/>
    <w:rsid w:val="598B4E15"/>
    <w:rsid w:val="598D03EC"/>
    <w:rsid w:val="598D7696"/>
    <w:rsid w:val="59970566"/>
    <w:rsid w:val="59993E04"/>
    <w:rsid w:val="599C0038"/>
    <w:rsid w:val="59C35A05"/>
    <w:rsid w:val="59C43D4D"/>
    <w:rsid w:val="59C51FD2"/>
    <w:rsid w:val="59C83A39"/>
    <w:rsid w:val="59D3010C"/>
    <w:rsid w:val="59EB4913"/>
    <w:rsid w:val="59EE18A4"/>
    <w:rsid w:val="59EF54EB"/>
    <w:rsid w:val="59EF72F7"/>
    <w:rsid w:val="59F31D20"/>
    <w:rsid w:val="59F7086A"/>
    <w:rsid w:val="59FB18DA"/>
    <w:rsid w:val="5A04583D"/>
    <w:rsid w:val="5A053C14"/>
    <w:rsid w:val="5A060D9F"/>
    <w:rsid w:val="5A0A1A6E"/>
    <w:rsid w:val="5A1B7661"/>
    <w:rsid w:val="5A1E308F"/>
    <w:rsid w:val="5A261DCD"/>
    <w:rsid w:val="5A361544"/>
    <w:rsid w:val="5A3F108A"/>
    <w:rsid w:val="5A420BA5"/>
    <w:rsid w:val="5A485CEB"/>
    <w:rsid w:val="5A5A5B50"/>
    <w:rsid w:val="5A5B363C"/>
    <w:rsid w:val="5A5C45C2"/>
    <w:rsid w:val="5A680CD4"/>
    <w:rsid w:val="5A6D76C0"/>
    <w:rsid w:val="5A7003F0"/>
    <w:rsid w:val="5A723A0D"/>
    <w:rsid w:val="5A731374"/>
    <w:rsid w:val="5A762255"/>
    <w:rsid w:val="5A833B0D"/>
    <w:rsid w:val="5A9D621A"/>
    <w:rsid w:val="5AA62E48"/>
    <w:rsid w:val="5AAB1D93"/>
    <w:rsid w:val="5AB17106"/>
    <w:rsid w:val="5AB440A2"/>
    <w:rsid w:val="5ABC4FEC"/>
    <w:rsid w:val="5AC219D6"/>
    <w:rsid w:val="5AC35724"/>
    <w:rsid w:val="5AC36F56"/>
    <w:rsid w:val="5ACF2987"/>
    <w:rsid w:val="5ACF40CD"/>
    <w:rsid w:val="5ACF53EE"/>
    <w:rsid w:val="5AD03C8C"/>
    <w:rsid w:val="5AD240D0"/>
    <w:rsid w:val="5ADF64A5"/>
    <w:rsid w:val="5AE91F64"/>
    <w:rsid w:val="5AEA4836"/>
    <w:rsid w:val="5AF30B34"/>
    <w:rsid w:val="5AFA2547"/>
    <w:rsid w:val="5AFD3B96"/>
    <w:rsid w:val="5B0453E0"/>
    <w:rsid w:val="5B0C640C"/>
    <w:rsid w:val="5B1A2E07"/>
    <w:rsid w:val="5B2D305D"/>
    <w:rsid w:val="5B2F0FF1"/>
    <w:rsid w:val="5B351432"/>
    <w:rsid w:val="5B4361C9"/>
    <w:rsid w:val="5B443E9C"/>
    <w:rsid w:val="5B4B204F"/>
    <w:rsid w:val="5B4F1FDC"/>
    <w:rsid w:val="5B707739"/>
    <w:rsid w:val="5B710FBC"/>
    <w:rsid w:val="5B750EEC"/>
    <w:rsid w:val="5B7C6858"/>
    <w:rsid w:val="5B821531"/>
    <w:rsid w:val="5B853B2A"/>
    <w:rsid w:val="5B9104C7"/>
    <w:rsid w:val="5B9404C9"/>
    <w:rsid w:val="5B956906"/>
    <w:rsid w:val="5B9D42DA"/>
    <w:rsid w:val="5BA26195"/>
    <w:rsid w:val="5BA657F5"/>
    <w:rsid w:val="5BAA4F78"/>
    <w:rsid w:val="5BAD6763"/>
    <w:rsid w:val="5BB43EFF"/>
    <w:rsid w:val="5BC24519"/>
    <w:rsid w:val="5BC866DE"/>
    <w:rsid w:val="5BC92512"/>
    <w:rsid w:val="5BCA5D03"/>
    <w:rsid w:val="5BCE4EA4"/>
    <w:rsid w:val="5BD209C4"/>
    <w:rsid w:val="5BD57CB7"/>
    <w:rsid w:val="5BD637EC"/>
    <w:rsid w:val="5BDE5A43"/>
    <w:rsid w:val="5BE0323A"/>
    <w:rsid w:val="5BE84759"/>
    <w:rsid w:val="5BF501EB"/>
    <w:rsid w:val="5BF92475"/>
    <w:rsid w:val="5C153EE9"/>
    <w:rsid w:val="5C1B7F5F"/>
    <w:rsid w:val="5C204209"/>
    <w:rsid w:val="5C227DB6"/>
    <w:rsid w:val="5C2432B9"/>
    <w:rsid w:val="5C2E3251"/>
    <w:rsid w:val="5C34166A"/>
    <w:rsid w:val="5C402575"/>
    <w:rsid w:val="5C42366F"/>
    <w:rsid w:val="5C4A36B7"/>
    <w:rsid w:val="5C4A56F7"/>
    <w:rsid w:val="5C4E44D4"/>
    <w:rsid w:val="5C4F66E0"/>
    <w:rsid w:val="5C515082"/>
    <w:rsid w:val="5C5552A6"/>
    <w:rsid w:val="5C5D6916"/>
    <w:rsid w:val="5C677428"/>
    <w:rsid w:val="5C7F48CC"/>
    <w:rsid w:val="5C7F63D1"/>
    <w:rsid w:val="5C825851"/>
    <w:rsid w:val="5C944872"/>
    <w:rsid w:val="5CA6258E"/>
    <w:rsid w:val="5CB97030"/>
    <w:rsid w:val="5CD7479C"/>
    <w:rsid w:val="5CE12CC2"/>
    <w:rsid w:val="5CE25F0C"/>
    <w:rsid w:val="5CE536CF"/>
    <w:rsid w:val="5CE568F8"/>
    <w:rsid w:val="5CF33064"/>
    <w:rsid w:val="5D055E2A"/>
    <w:rsid w:val="5D0576C4"/>
    <w:rsid w:val="5D0C57B5"/>
    <w:rsid w:val="5D0E453B"/>
    <w:rsid w:val="5D1715C8"/>
    <w:rsid w:val="5D184522"/>
    <w:rsid w:val="5D1F69D4"/>
    <w:rsid w:val="5D230368"/>
    <w:rsid w:val="5D255730"/>
    <w:rsid w:val="5D3D4EE6"/>
    <w:rsid w:val="5D534F69"/>
    <w:rsid w:val="5D5667E0"/>
    <w:rsid w:val="5D580881"/>
    <w:rsid w:val="5D6261CB"/>
    <w:rsid w:val="5D633394"/>
    <w:rsid w:val="5D6950E1"/>
    <w:rsid w:val="5D7E0072"/>
    <w:rsid w:val="5D806DA9"/>
    <w:rsid w:val="5D9746E3"/>
    <w:rsid w:val="5D9C1821"/>
    <w:rsid w:val="5D9C7622"/>
    <w:rsid w:val="5DA13534"/>
    <w:rsid w:val="5DAE2DC0"/>
    <w:rsid w:val="5DBD2E94"/>
    <w:rsid w:val="5DCB56EC"/>
    <w:rsid w:val="5DD067F8"/>
    <w:rsid w:val="5DD3703F"/>
    <w:rsid w:val="5DD43000"/>
    <w:rsid w:val="5DDA7107"/>
    <w:rsid w:val="5DDB6067"/>
    <w:rsid w:val="5DDC5BCF"/>
    <w:rsid w:val="5DE04E29"/>
    <w:rsid w:val="5DE448D2"/>
    <w:rsid w:val="5DE62F1A"/>
    <w:rsid w:val="5DED0B0B"/>
    <w:rsid w:val="5DF441FF"/>
    <w:rsid w:val="5DF47CB1"/>
    <w:rsid w:val="5E0A7399"/>
    <w:rsid w:val="5E1463C6"/>
    <w:rsid w:val="5E153A69"/>
    <w:rsid w:val="5E1A20EF"/>
    <w:rsid w:val="5E1E6113"/>
    <w:rsid w:val="5E285722"/>
    <w:rsid w:val="5E325597"/>
    <w:rsid w:val="5E3917A2"/>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97C8F"/>
    <w:rsid w:val="5EB732BA"/>
    <w:rsid w:val="5EBC76FA"/>
    <w:rsid w:val="5EBD517B"/>
    <w:rsid w:val="5EBE2BFD"/>
    <w:rsid w:val="5EC16D37"/>
    <w:rsid w:val="5EC17640"/>
    <w:rsid w:val="5ECA3DF8"/>
    <w:rsid w:val="5ECC1F13"/>
    <w:rsid w:val="5ECE195E"/>
    <w:rsid w:val="5EDC21AD"/>
    <w:rsid w:val="5EDD34B2"/>
    <w:rsid w:val="5EDE1CAC"/>
    <w:rsid w:val="5EE81843"/>
    <w:rsid w:val="5EE86EFA"/>
    <w:rsid w:val="5EEA6F44"/>
    <w:rsid w:val="5EEC0249"/>
    <w:rsid w:val="5EED3932"/>
    <w:rsid w:val="5EED45AB"/>
    <w:rsid w:val="5EEF23A7"/>
    <w:rsid w:val="5F0936DE"/>
    <w:rsid w:val="5F107184"/>
    <w:rsid w:val="5F165565"/>
    <w:rsid w:val="5F171517"/>
    <w:rsid w:val="5F1E74F2"/>
    <w:rsid w:val="5F2E1FB7"/>
    <w:rsid w:val="5F3B1348"/>
    <w:rsid w:val="5F401ED1"/>
    <w:rsid w:val="5F530EF2"/>
    <w:rsid w:val="5F5E3609"/>
    <w:rsid w:val="5F5F2786"/>
    <w:rsid w:val="5F62295E"/>
    <w:rsid w:val="5F685614"/>
    <w:rsid w:val="5F700C2B"/>
    <w:rsid w:val="5F721C1C"/>
    <w:rsid w:val="5F7D16C2"/>
    <w:rsid w:val="5F860448"/>
    <w:rsid w:val="5F892553"/>
    <w:rsid w:val="5F9569BE"/>
    <w:rsid w:val="5F995DE3"/>
    <w:rsid w:val="5FA263AE"/>
    <w:rsid w:val="5FA45185"/>
    <w:rsid w:val="5FAB77AE"/>
    <w:rsid w:val="5FB301BB"/>
    <w:rsid w:val="5FB66778"/>
    <w:rsid w:val="5FBB641C"/>
    <w:rsid w:val="5FC4513D"/>
    <w:rsid w:val="5FCC256F"/>
    <w:rsid w:val="5FCF7A4A"/>
    <w:rsid w:val="5FD14660"/>
    <w:rsid w:val="5FD2177E"/>
    <w:rsid w:val="5FD22AC5"/>
    <w:rsid w:val="5FE61766"/>
    <w:rsid w:val="5FFC4784"/>
    <w:rsid w:val="5FFE3CB5"/>
    <w:rsid w:val="6001450E"/>
    <w:rsid w:val="600606A1"/>
    <w:rsid w:val="600808E3"/>
    <w:rsid w:val="60087F08"/>
    <w:rsid w:val="600A6271"/>
    <w:rsid w:val="600E2D86"/>
    <w:rsid w:val="601B12D0"/>
    <w:rsid w:val="60232A0F"/>
    <w:rsid w:val="60252D65"/>
    <w:rsid w:val="602D3D16"/>
    <w:rsid w:val="60357E4D"/>
    <w:rsid w:val="60394CB2"/>
    <w:rsid w:val="603E65DF"/>
    <w:rsid w:val="60443CFE"/>
    <w:rsid w:val="6046706E"/>
    <w:rsid w:val="60492B3E"/>
    <w:rsid w:val="604C140E"/>
    <w:rsid w:val="6051159A"/>
    <w:rsid w:val="60565E64"/>
    <w:rsid w:val="60594106"/>
    <w:rsid w:val="60705E47"/>
    <w:rsid w:val="60710045"/>
    <w:rsid w:val="60870AEB"/>
    <w:rsid w:val="6089047C"/>
    <w:rsid w:val="608D4CE3"/>
    <w:rsid w:val="60A6194B"/>
    <w:rsid w:val="60A859A2"/>
    <w:rsid w:val="60AB29AA"/>
    <w:rsid w:val="60AB682C"/>
    <w:rsid w:val="60AC022A"/>
    <w:rsid w:val="60AC67BD"/>
    <w:rsid w:val="60AD5CAC"/>
    <w:rsid w:val="60C06489"/>
    <w:rsid w:val="60C8248D"/>
    <w:rsid w:val="60CE2A0E"/>
    <w:rsid w:val="60DD2BF7"/>
    <w:rsid w:val="60DD7ADC"/>
    <w:rsid w:val="60E57A01"/>
    <w:rsid w:val="60E81DBB"/>
    <w:rsid w:val="60ED7DC9"/>
    <w:rsid w:val="60F25866"/>
    <w:rsid w:val="61004761"/>
    <w:rsid w:val="61063752"/>
    <w:rsid w:val="610E2FD4"/>
    <w:rsid w:val="611159D0"/>
    <w:rsid w:val="611D5644"/>
    <w:rsid w:val="61204933"/>
    <w:rsid w:val="612354B4"/>
    <w:rsid w:val="612358EA"/>
    <w:rsid w:val="61351A56"/>
    <w:rsid w:val="613E3F16"/>
    <w:rsid w:val="613F62A8"/>
    <w:rsid w:val="61415F87"/>
    <w:rsid w:val="614A51BA"/>
    <w:rsid w:val="61596339"/>
    <w:rsid w:val="615A223E"/>
    <w:rsid w:val="615B47A6"/>
    <w:rsid w:val="615C3E21"/>
    <w:rsid w:val="615E224C"/>
    <w:rsid w:val="615F5027"/>
    <w:rsid w:val="616435A6"/>
    <w:rsid w:val="617407F9"/>
    <w:rsid w:val="61763176"/>
    <w:rsid w:val="61765A6E"/>
    <w:rsid w:val="617D4CFF"/>
    <w:rsid w:val="6180664F"/>
    <w:rsid w:val="618A4893"/>
    <w:rsid w:val="619052BD"/>
    <w:rsid w:val="61920AE7"/>
    <w:rsid w:val="619239A0"/>
    <w:rsid w:val="6193492F"/>
    <w:rsid w:val="619940E6"/>
    <w:rsid w:val="61A274BD"/>
    <w:rsid w:val="61A6014E"/>
    <w:rsid w:val="61A7141F"/>
    <w:rsid w:val="61D63921"/>
    <w:rsid w:val="61DB724C"/>
    <w:rsid w:val="61DD07F6"/>
    <w:rsid w:val="61E6342A"/>
    <w:rsid w:val="61EE4C3C"/>
    <w:rsid w:val="61F017BB"/>
    <w:rsid w:val="61F439C5"/>
    <w:rsid w:val="61F443E9"/>
    <w:rsid w:val="61F61B0C"/>
    <w:rsid w:val="61F84262"/>
    <w:rsid w:val="62200CC3"/>
    <w:rsid w:val="62213533"/>
    <w:rsid w:val="62270D05"/>
    <w:rsid w:val="62282D1D"/>
    <w:rsid w:val="623663BB"/>
    <w:rsid w:val="62374113"/>
    <w:rsid w:val="62461BF2"/>
    <w:rsid w:val="624A00EA"/>
    <w:rsid w:val="625A2CAE"/>
    <w:rsid w:val="62607426"/>
    <w:rsid w:val="626D2409"/>
    <w:rsid w:val="62720A8F"/>
    <w:rsid w:val="62867444"/>
    <w:rsid w:val="628B741B"/>
    <w:rsid w:val="629533E8"/>
    <w:rsid w:val="629810C3"/>
    <w:rsid w:val="629D7EE8"/>
    <w:rsid w:val="62A63868"/>
    <w:rsid w:val="62B06376"/>
    <w:rsid w:val="62B705DA"/>
    <w:rsid w:val="62BC107A"/>
    <w:rsid w:val="62BD1B13"/>
    <w:rsid w:val="62BD4ECC"/>
    <w:rsid w:val="62C73A65"/>
    <w:rsid w:val="62D00E29"/>
    <w:rsid w:val="62D50998"/>
    <w:rsid w:val="62DE5BC0"/>
    <w:rsid w:val="62E7507D"/>
    <w:rsid w:val="62F67597"/>
    <w:rsid w:val="630503D7"/>
    <w:rsid w:val="63056D1B"/>
    <w:rsid w:val="630720DC"/>
    <w:rsid w:val="630C0C8E"/>
    <w:rsid w:val="630C34D0"/>
    <w:rsid w:val="63173061"/>
    <w:rsid w:val="631E48B7"/>
    <w:rsid w:val="6322080B"/>
    <w:rsid w:val="632921B9"/>
    <w:rsid w:val="632E6C44"/>
    <w:rsid w:val="633F4960"/>
    <w:rsid w:val="63490AF3"/>
    <w:rsid w:val="634C1546"/>
    <w:rsid w:val="63516D8F"/>
    <w:rsid w:val="635F6BBD"/>
    <w:rsid w:val="636B232C"/>
    <w:rsid w:val="638031CB"/>
    <w:rsid w:val="6388340F"/>
    <w:rsid w:val="638C5281"/>
    <w:rsid w:val="638F7AFC"/>
    <w:rsid w:val="639215D8"/>
    <w:rsid w:val="63926BE7"/>
    <w:rsid w:val="639B507A"/>
    <w:rsid w:val="63A36BE5"/>
    <w:rsid w:val="63A8247C"/>
    <w:rsid w:val="63A95642"/>
    <w:rsid w:val="63AB2D6C"/>
    <w:rsid w:val="63B934B7"/>
    <w:rsid w:val="63C04B8A"/>
    <w:rsid w:val="63D42229"/>
    <w:rsid w:val="63D42C55"/>
    <w:rsid w:val="63D73BDA"/>
    <w:rsid w:val="63D8474D"/>
    <w:rsid w:val="63DB746A"/>
    <w:rsid w:val="63E5033D"/>
    <w:rsid w:val="63EA4DF9"/>
    <w:rsid w:val="63EB60FE"/>
    <w:rsid w:val="63EE162B"/>
    <w:rsid w:val="63F75B8A"/>
    <w:rsid w:val="640310C7"/>
    <w:rsid w:val="640F0C5E"/>
    <w:rsid w:val="64130685"/>
    <w:rsid w:val="64155C8D"/>
    <w:rsid w:val="64161140"/>
    <w:rsid w:val="641A29D9"/>
    <w:rsid w:val="641B0760"/>
    <w:rsid w:val="641D00AF"/>
    <w:rsid w:val="641D74E0"/>
    <w:rsid w:val="641E1DE4"/>
    <w:rsid w:val="64203CB4"/>
    <w:rsid w:val="642071F7"/>
    <w:rsid w:val="64222857"/>
    <w:rsid w:val="64335EB1"/>
    <w:rsid w:val="643519B3"/>
    <w:rsid w:val="643F48DC"/>
    <w:rsid w:val="64433CD0"/>
    <w:rsid w:val="64475192"/>
    <w:rsid w:val="64495F72"/>
    <w:rsid w:val="644B199A"/>
    <w:rsid w:val="644B25BC"/>
    <w:rsid w:val="64570B28"/>
    <w:rsid w:val="645779AB"/>
    <w:rsid w:val="64580D33"/>
    <w:rsid w:val="646005E6"/>
    <w:rsid w:val="646754AC"/>
    <w:rsid w:val="646975D9"/>
    <w:rsid w:val="646E1D30"/>
    <w:rsid w:val="647F6D16"/>
    <w:rsid w:val="64844824"/>
    <w:rsid w:val="64976216"/>
    <w:rsid w:val="6498217B"/>
    <w:rsid w:val="64987FF4"/>
    <w:rsid w:val="649E5BA1"/>
    <w:rsid w:val="64A473F3"/>
    <w:rsid w:val="64C92268"/>
    <w:rsid w:val="64CA7CEA"/>
    <w:rsid w:val="64D0513C"/>
    <w:rsid w:val="64D35D0E"/>
    <w:rsid w:val="64DC7048"/>
    <w:rsid w:val="64EB1866"/>
    <w:rsid w:val="64F702F2"/>
    <w:rsid w:val="650B0753"/>
    <w:rsid w:val="650D55B1"/>
    <w:rsid w:val="650F1B6E"/>
    <w:rsid w:val="651424EE"/>
    <w:rsid w:val="651E51F6"/>
    <w:rsid w:val="65257BC1"/>
    <w:rsid w:val="65287A29"/>
    <w:rsid w:val="65293587"/>
    <w:rsid w:val="65297D03"/>
    <w:rsid w:val="65415552"/>
    <w:rsid w:val="65537EF9"/>
    <w:rsid w:val="655E1155"/>
    <w:rsid w:val="655F4773"/>
    <w:rsid w:val="65621162"/>
    <w:rsid w:val="65636455"/>
    <w:rsid w:val="65736E7E"/>
    <w:rsid w:val="657962B9"/>
    <w:rsid w:val="658C5741"/>
    <w:rsid w:val="659538A5"/>
    <w:rsid w:val="659E7432"/>
    <w:rsid w:val="65A240BE"/>
    <w:rsid w:val="65A273A9"/>
    <w:rsid w:val="65A924D2"/>
    <w:rsid w:val="65AC002A"/>
    <w:rsid w:val="65AE5114"/>
    <w:rsid w:val="65B61DD9"/>
    <w:rsid w:val="65B66656"/>
    <w:rsid w:val="65B75945"/>
    <w:rsid w:val="65B91BD5"/>
    <w:rsid w:val="65BB5075"/>
    <w:rsid w:val="65C0580D"/>
    <w:rsid w:val="65C149FF"/>
    <w:rsid w:val="65C76D0B"/>
    <w:rsid w:val="65CB5A52"/>
    <w:rsid w:val="65CC2D90"/>
    <w:rsid w:val="65CF0670"/>
    <w:rsid w:val="65D23BC4"/>
    <w:rsid w:val="65FE41D7"/>
    <w:rsid w:val="66002819"/>
    <w:rsid w:val="662861DC"/>
    <w:rsid w:val="66286B79"/>
    <w:rsid w:val="662F5033"/>
    <w:rsid w:val="66306F43"/>
    <w:rsid w:val="66326E97"/>
    <w:rsid w:val="663848B9"/>
    <w:rsid w:val="663933C4"/>
    <w:rsid w:val="663F4723"/>
    <w:rsid w:val="6640163E"/>
    <w:rsid w:val="6640730C"/>
    <w:rsid w:val="664615E7"/>
    <w:rsid w:val="66513470"/>
    <w:rsid w:val="66515E90"/>
    <w:rsid w:val="665265F4"/>
    <w:rsid w:val="66540438"/>
    <w:rsid w:val="66634353"/>
    <w:rsid w:val="6679056C"/>
    <w:rsid w:val="6684253E"/>
    <w:rsid w:val="66903DD3"/>
    <w:rsid w:val="66943E18"/>
    <w:rsid w:val="6699652A"/>
    <w:rsid w:val="66A10ECF"/>
    <w:rsid w:val="66A178F0"/>
    <w:rsid w:val="66A93110"/>
    <w:rsid w:val="66AB08E7"/>
    <w:rsid w:val="66AC664F"/>
    <w:rsid w:val="66AF2B2C"/>
    <w:rsid w:val="66B372BF"/>
    <w:rsid w:val="66B41A4A"/>
    <w:rsid w:val="66C2220F"/>
    <w:rsid w:val="66C45526"/>
    <w:rsid w:val="66DB2A60"/>
    <w:rsid w:val="66E42A4D"/>
    <w:rsid w:val="66EC68BC"/>
    <w:rsid w:val="66F0190D"/>
    <w:rsid w:val="66FE4406"/>
    <w:rsid w:val="67064E16"/>
    <w:rsid w:val="670B0EC0"/>
    <w:rsid w:val="670D6C1F"/>
    <w:rsid w:val="670F0B32"/>
    <w:rsid w:val="671723BE"/>
    <w:rsid w:val="671B479E"/>
    <w:rsid w:val="672833FF"/>
    <w:rsid w:val="67290ACE"/>
    <w:rsid w:val="67351F57"/>
    <w:rsid w:val="6738767F"/>
    <w:rsid w:val="673C1CED"/>
    <w:rsid w:val="67447CAA"/>
    <w:rsid w:val="67464A60"/>
    <w:rsid w:val="67547394"/>
    <w:rsid w:val="67572AA2"/>
    <w:rsid w:val="675B2F4B"/>
    <w:rsid w:val="67603184"/>
    <w:rsid w:val="676569B0"/>
    <w:rsid w:val="676E53AF"/>
    <w:rsid w:val="67703441"/>
    <w:rsid w:val="6772565E"/>
    <w:rsid w:val="67830DB6"/>
    <w:rsid w:val="67837EE3"/>
    <w:rsid w:val="678F5EF4"/>
    <w:rsid w:val="67995FE3"/>
    <w:rsid w:val="679B74C7"/>
    <w:rsid w:val="679C72E6"/>
    <w:rsid w:val="679D7D9D"/>
    <w:rsid w:val="67A16316"/>
    <w:rsid w:val="67B11059"/>
    <w:rsid w:val="67B2192C"/>
    <w:rsid w:val="67B52945"/>
    <w:rsid w:val="67B84A87"/>
    <w:rsid w:val="67CA2856"/>
    <w:rsid w:val="67CC5D59"/>
    <w:rsid w:val="67D057BD"/>
    <w:rsid w:val="67D5396B"/>
    <w:rsid w:val="67DE14F6"/>
    <w:rsid w:val="67E24A58"/>
    <w:rsid w:val="67E62186"/>
    <w:rsid w:val="67E76177"/>
    <w:rsid w:val="67E967D4"/>
    <w:rsid w:val="67EA1DE2"/>
    <w:rsid w:val="67F25097"/>
    <w:rsid w:val="67F51F5D"/>
    <w:rsid w:val="68014B1A"/>
    <w:rsid w:val="68112B7C"/>
    <w:rsid w:val="681C0F9C"/>
    <w:rsid w:val="68280A59"/>
    <w:rsid w:val="682A7E7D"/>
    <w:rsid w:val="682D188D"/>
    <w:rsid w:val="682D49B9"/>
    <w:rsid w:val="68305A7D"/>
    <w:rsid w:val="684400AB"/>
    <w:rsid w:val="6845021D"/>
    <w:rsid w:val="684B40A8"/>
    <w:rsid w:val="684D2590"/>
    <w:rsid w:val="685448E5"/>
    <w:rsid w:val="68562439"/>
    <w:rsid w:val="68567ADB"/>
    <w:rsid w:val="68577259"/>
    <w:rsid w:val="685A52F7"/>
    <w:rsid w:val="685F4499"/>
    <w:rsid w:val="686007CB"/>
    <w:rsid w:val="686301D2"/>
    <w:rsid w:val="686F32ED"/>
    <w:rsid w:val="68763CFB"/>
    <w:rsid w:val="68775B46"/>
    <w:rsid w:val="687E7D7B"/>
    <w:rsid w:val="68847799"/>
    <w:rsid w:val="689E6C51"/>
    <w:rsid w:val="68AB1911"/>
    <w:rsid w:val="68AC2E48"/>
    <w:rsid w:val="68AC7864"/>
    <w:rsid w:val="68B63758"/>
    <w:rsid w:val="68B92688"/>
    <w:rsid w:val="68BD141F"/>
    <w:rsid w:val="68C2312F"/>
    <w:rsid w:val="68C73C4B"/>
    <w:rsid w:val="68CC74D0"/>
    <w:rsid w:val="68CD117F"/>
    <w:rsid w:val="68CE0DFE"/>
    <w:rsid w:val="68D046DE"/>
    <w:rsid w:val="68DD058C"/>
    <w:rsid w:val="68E301D6"/>
    <w:rsid w:val="68E84B74"/>
    <w:rsid w:val="68EA43B9"/>
    <w:rsid w:val="68F62434"/>
    <w:rsid w:val="690300E6"/>
    <w:rsid w:val="690E546B"/>
    <w:rsid w:val="691F004A"/>
    <w:rsid w:val="69203F0E"/>
    <w:rsid w:val="692563EE"/>
    <w:rsid w:val="692D20AF"/>
    <w:rsid w:val="692D6BB4"/>
    <w:rsid w:val="693224AE"/>
    <w:rsid w:val="693A17B3"/>
    <w:rsid w:val="69456602"/>
    <w:rsid w:val="69457B44"/>
    <w:rsid w:val="6951179F"/>
    <w:rsid w:val="69521102"/>
    <w:rsid w:val="695C3AB5"/>
    <w:rsid w:val="69624FCF"/>
    <w:rsid w:val="6965727E"/>
    <w:rsid w:val="69750F1B"/>
    <w:rsid w:val="69781FA1"/>
    <w:rsid w:val="69785369"/>
    <w:rsid w:val="697B19FC"/>
    <w:rsid w:val="697C7276"/>
    <w:rsid w:val="697F0C22"/>
    <w:rsid w:val="698B0A1D"/>
    <w:rsid w:val="69950BC7"/>
    <w:rsid w:val="69981B4C"/>
    <w:rsid w:val="69983D4A"/>
    <w:rsid w:val="699D67CF"/>
    <w:rsid w:val="699E14D7"/>
    <w:rsid w:val="699F6F59"/>
    <w:rsid w:val="69A47B5D"/>
    <w:rsid w:val="69AB32EC"/>
    <w:rsid w:val="69AE77B4"/>
    <w:rsid w:val="69BA5584"/>
    <w:rsid w:val="69C0232F"/>
    <w:rsid w:val="69C62E9A"/>
    <w:rsid w:val="69D064D5"/>
    <w:rsid w:val="69D9569F"/>
    <w:rsid w:val="69DA0903"/>
    <w:rsid w:val="69DE22C1"/>
    <w:rsid w:val="69E13245"/>
    <w:rsid w:val="69F076EC"/>
    <w:rsid w:val="6A0B0AE3"/>
    <w:rsid w:val="6A0C4C59"/>
    <w:rsid w:val="6A0C7811"/>
    <w:rsid w:val="6A0D3432"/>
    <w:rsid w:val="6A0E77F1"/>
    <w:rsid w:val="6A104C8E"/>
    <w:rsid w:val="6A1B06CD"/>
    <w:rsid w:val="6A1B22BF"/>
    <w:rsid w:val="6A1F3D5D"/>
    <w:rsid w:val="6A28295C"/>
    <w:rsid w:val="6A2E7184"/>
    <w:rsid w:val="6A3001E9"/>
    <w:rsid w:val="6A305861"/>
    <w:rsid w:val="6A374FF4"/>
    <w:rsid w:val="6A55161C"/>
    <w:rsid w:val="6A5D6ABC"/>
    <w:rsid w:val="6A5F4B38"/>
    <w:rsid w:val="6A65568E"/>
    <w:rsid w:val="6A7172B1"/>
    <w:rsid w:val="6A7177BA"/>
    <w:rsid w:val="6A8213EE"/>
    <w:rsid w:val="6A87042F"/>
    <w:rsid w:val="6A9042E2"/>
    <w:rsid w:val="6A9553FE"/>
    <w:rsid w:val="6A9F4AA5"/>
    <w:rsid w:val="6AA1457D"/>
    <w:rsid w:val="6AA40D85"/>
    <w:rsid w:val="6AA63C6E"/>
    <w:rsid w:val="6AA77654"/>
    <w:rsid w:val="6AAD23DE"/>
    <w:rsid w:val="6AAE4D18"/>
    <w:rsid w:val="6AB4579C"/>
    <w:rsid w:val="6AB57A16"/>
    <w:rsid w:val="6ABF796A"/>
    <w:rsid w:val="6AC13145"/>
    <w:rsid w:val="6AC30E38"/>
    <w:rsid w:val="6ACE1BC9"/>
    <w:rsid w:val="6ADB66AC"/>
    <w:rsid w:val="6ADD74FD"/>
    <w:rsid w:val="6AE20869"/>
    <w:rsid w:val="6AE3471E"/>
    <w:rsid w:val="6AEA62D3"/>
    <w:rsid w:val="6AEE0C73"/>
    <w:rsid w:val="6AF6662F"/>
    <w:rsid w:val="6AFA5F10"/>
    <w:rsid w:val="6B0F0434"/>
    <w:rsid w:val="6B161FBD"/>
    <w:rsid w:val="6B26156E"/>
    <w:rsid w:val="6B275ADB"/>
    <w:rsid w:val="6B290FDE"/>
    <w:rsid w:val="6B2A6A5F"/>
    <w:rsid w:val="6B3816B9"/>
    <w:rsid w:val="6B4B024C"/>
    <w:rsid w:val="6B570F9E"/>
    <w:rsid w:val="6B623137"/>
    <w:rsid w:val="6B704D44"/>
    <w:rsid w:val="6B7867DE"/>
    <w:rsid w:val="6B7A4A17"/>
    <w:rsid w:val="6B7F1BF6"/>
    <w:rsid w:val="6B8F6404"/>
    <w:rsid w:val="6B9171E7"/>
    <w:rsid w:val="6B9512FD"/>
    <w:rsid w:val="6BB554FE"/>
    <w:rsid w:val="6BB77D0A"/>
    <w:rsid w:val="6BB875C8"/>
    <w:rsid w:val="6BB87BB7"/>
    <w:rsid w:val="6BC12EDC"/>
    <w:rsid w:val="6BC2294D"/>
    <w:rsid w:val="6BC71DE1"/>
    <w:rsid w:val="6BCA2D65"/>
    <w:rsid w:val="6BDA0E02"/>
    <w:rsid w:val="6BE02D0B"/>
    <w:rsid w:val="6BE255D8"/>
    <w:rsid w:val="6BE76A97"/>
    <w:rsid w:val="6BE91CF0"/>
    <w:rsid w:val="6BED679D"/>
    <w:rsid w:val="6BF056A3"/>
    <w:rsid w:val="6BF11FF8"/>
    <w:rsid w:val="6BF43FAF"/>
    <w:rsid w:val="6BFB1AB8"/>
    <w:rsid w:val="6BFB78C8"/>
    <w:rsid w:val="6BFE61C2"/>
    <w:rsid w:val="6C0309D8"/>
    <w:rsid w:val="6C08656A"/>
    <w:rsid w:val="6C1363EA"/>
    <w:rsid w:val="6C145989"/>
    <w:rsid w:val="6C157962"/>
    <w:rsid w:val="6C1F175D"/>
    <w:rsid w:val="6C257D90"/>
    <w:rsid w:val="6C257DDA"/>
    <w:rsid w:val="6C3E480C"/>
    <w:rsid w:val="6C460131"/>
    <w:rsid w:val="6C496EB7"/>
    <w:rsid w:val="6C4A348A"/>
    <w:rsid w:val="6C4A4478"/>
    <w:rsid w:val="6C5002D5"/>
    <w:rsid w:val="6C620B32"/>
    <w:rsid w:val="6C6700AC"/>
    <w:rsid w:val="6C6E2EE4"/>
    <w:rsid w:val="6C777224"/>
    <w:rsid w:val="6C83219C"/>
    <w:rsid w:val="6C833B41"/>
    <w:rsid w:val="6C953733"/>
    <w:rsid w:val="6C9803A4"/>
    <w:rsid w:val="6C9A3FE3"/>
    <w:rsid w:val="6C9C0EC0"/>
    <w:rsid w:val="6CAA5C57"/>
    <w:rsid w:val="6CAB316D"/>
    <w:rsid w:val="6CB01D5E"/>
    <w:rsid w:val="6CB5662E"/>
    <w:rsid w:val="6CB761C7"/>
    <w:rsid w:val="6CC66FB4"/>
    <w:rsid w:val="6CC839C0"/>
    <w:rsid w:val="6CC92C88"/>
    <w:rsid w:val="6CD323B8"/>
    <w:rsid w:val="6CF33107"/>
    <w:rsid w:val="6D0B1173"/>
    <w:rsid w:val="6D0D47A4"/>
    <w:rsid w:val="6D11307D"/>
    <w:rsid w:val="6D23681A"/>
    <w:rsid w:val="6D243939"/>
    <w:rsid w:val="6D303931"/>
    <w:rsid w:val="6D3125B4"/>
    <w:rsid w:val="6D447778"/>
    <w:rsid w:val="6D4A5F2F"/>
    <w:rsid w:val="6D527212"/>
    <w:rsid w:val="6D54665C"/>
    <w:rsid w:val="6D5D5B32"/>
    <w:rsid w:val="6D620170"/>
    <w:rsid w:val="6D621B82"/>
    <w:rsid w:val="6D652B07"/>
    <w:rsid w:val="6D740BA3"/>
    <w:rsid w:val="6D777E6B"/>
    <w:rsid w:val="6D7F746A"/>
    <w:rsid w:val="6D84645E"/>
    <w:rsid w:val="6D853CDD"/>
    <w:rsid w:val="6D8807AB"/>
    <w:rsid w:val="6D8F437E"/>
    <w:rsid w:val="6D990245"/>
    <w:rsid w:val="6D997573"/>
    <w:rsid w:val="6D9F38D0"/>
    <w:rsid w:val="6DA026C8"/>
    <w:rsid w:val="6DA46B38"/>
    <w:rsid w:val="6DAE651B"/>
    <w:rsid w:val="6DB46943"/>
    <w:rsid w:val="6DC62455"/>
    <w:rsid w:val="6DC9282B"/>
    <w:rsid w:val="6DC95E1A"/>
    <w:rsid w:val="6DD63018"/>
    <w:rsid w:val="6DDA7762"/>
    <w:rsid w:val="6DED7F0C"/>
    <w:rsid w:val="6DF1016C"/>
    <w:rsid w:val="6DF40E20"/>
    <w:rsid w:val="6DF8337A"/>
    <w:rsid w:val="6E035FBA"/>
    <w:rsid w:val="6E123F60"/>
    <w:rsid w:val="6E130BF0"/>
    <w:rsid w:val="6E185E2D"/>
    <w:rsid w:val="6E1B6DB2"/>
    <w:rsid w:val="6E335B34"/>
    <w:rsid w:val="6E3F466A"/>
    <w:rsid w:val="6E4833ED"/>
    <w:rsid w:val="6E4A6623"/>
    <w:rsid w:val="6E4B02B6"/>
    <w:rsid w:val="6E4D7D3F"/>
    <w:rsid w:val="6E50100D"/>
    <w:rsid w:val="6E5231A4"/>
    <w:rsid w:val="6E5A40EE"/>
    <w:rsid w:val="6E5B561D"/>
    <w:rsid w:val="6E671D27"/>
    <w:rsid w:val="6E686BA4"/>
    <w:rsid w:val="6E6C58B8"/>
    <w:rsid w:val="6E6D5537"/>
    <w:rsid w:val="6E7304B3"/>
    <w:rsid w:val="6E7D48F4"/>
    <w:rsid w:val="6E84731C"/>
    <w:rsid w:val="6E86029D"/>
    <w:rsid w:val="6E9C16AF"/>
    <w:rsid w:val="6E9C1E0C"/>
    <w:rsid w:val="6E9D390D"/>
    <w:rsid w:val="6EA634D6"/>
    <w:rsid w:val="6EB70BFC"/>
    <w:rsid w:val="6EBC6825"/>
    <w:rsid w:val="6EC45F46"/>
    <w:rsid w:val="6EC64CCC"/>
    <w:rsid w:val="6ECE6856"/>
    <w:rsid w:val="6ECF1E42"/>
    <w:rsid w:val="6ED6785C"/>
    <w:rsid w:val="6EE10B05"/>
    <w:rsid w:val="6EE91ECE"/>
    <w:rsid w:val="6EF047D8"/>
    <w:rsid w:val="6EFA4222"/>
    <w:rsid w:val="6EFF1A27"/>
    <w:rsid w:val="6F0472BB"/>
    <w:rsid w:val="6F0547B1"/>
    <w:rsid w:val="6F181253"/>
    <w:rsid w:val="6F18644A"/>
    <w:rsid w:val="6F1F19DF"/>
    <w:rsid w:val="6F1F28E0"/>
    <w:rsid w:val="6F206808"/>
    <w:rsid w:val="6F273226"/>
    <w:rsid w:val="6F301732"/>
    <w:rsid w:val="6F3B291C"/>
    <w:rsid w:val="6F3D3EE0"/>
    <w:rsid w:val="6F50561C"/>
    <w:rsid w:val="6F537CC8"/>
    <w:rsid w:val="6F5B3B07"/>
    <w:rsid w:val="6F5C04F3"/>
    <w:rsid w:val="6F6000F3"/>
    <w:rsid w:val="6F663551"/>
    <w:rsid w:val="6F6C1317"/>
    <w:rsid w:val="6F700748"/>
    <w:rsid w:val="6F734DE5"/>
    <w:rsid w:val="6F7A7501"/>
    <w:rsid w:val="6F7C0176"/>
    <w:rsid w:val="6F8634C4"/>
    <w:rsid w:val="6F8B5D0F"/>
    <w:rsid w:val="6F98017A"/>
    <w:rsid w:val="6FAB7D95"/>
    <w:rsid w:val="6FAD23B4"/>
    <w:rsid w:val="6FAD5E72"/>
    <w:rsid w:val="6FBD7D61"/>
    <w:rsid w:val="6FBE53DB"/>
    <w:rsid w:val="6FC154F6"/>
    <w:rsid w:val="6FC42EAB"/>
    <w:rsid w:val="6FC438EB"/>
    <w:rsid w:val="6FD101F3"/>
    <w:rsid w:val="6FD9000D"/>
    <w:rsid w:val="6FE54985"/>
    <w:rsid w:val="6FE63AA5"/>
    <w:rsid w:val="6FE74DA4"/>
    <w:rsid w:val="6FEC5771"/>
    <w:rsid w:val="6FEC7554"/>
    <w:rsid w:val="6FED2530"/>
    <w:rsid w:val="6FF1283A"/>
    <w:rsid w:val="6FF65844"/>
    <w:rsid w:val="70095D0E"/>
    <w:rsid w:val="700B23E9"/>
    <w:rsid w:val="70100167"/>
    <w:rsid w:val="70196ECC"/>
    <w:rsid w:val="702D331A"/>
    <w:rsid w:val="703C5B33"/>
    <w:rsid w:val="704E12D0"/>
    <w:rsid w:val="70563262"/>
    <w:rsid w:val="705873A3"/>
    <w:rsid w:val="705F66D6"/>
    <w:rsid w:val="70670B75"/>
    <w:rsid w:val="7071718D"/>
    <w:rsid w:val="707B1DA1"/>
    <w:rsid w:val="70971E04"/>
    <w:rsid w:val="709910D5"/>
    <w:rsid w:val="70A468AC"/>
    <w:rsid w:val="70A84E00"/>
    <w:rsid w:val="70B30FF5"/>
    <w:rsid w:val="70B64551"/>
    <w:rsid w:val="70B64B15"/>
    <w:rsid w:val="70B659BE"/>
    <w:rsid w:val="70B70151"/>
    <w:rsid w:val="70B90980"/>
    <w:rsid w:val="70BD4670"/>
    <w:rsid w:val="70CE37DC"/>
    <w:rsid w:val="70D021EC"/>
    <w:rsid w:val="70D216D3"/>
    <w:rsid w:val="70D864B3"/>
    <w:rsid w:val="70DB6936"/>
    <w:rsid w:val="70DD65D9"/>
    <w:rsid w:val="70FA71EB"/>
    <w:rsid w:val="71185DA1"/>
    <w:rsid w:val="712B79BA"/>
    <w:rsid w:val="712E66CC"/>
    <w:rsid w:val="71435060"/>
    <w:rsid w:val="7144725F"/>
    <w:rsid w:val="71465FE5"/>
    <w:rsid w:val="714C7EEE"/>
    <w:rsid w:val="71534AAE"/>
    <w:rsid w:val="715948DA"/>
    <w:rsid w:val="71622CA5"/>
    <w:rsid w:val="716C54B9"/>
    <w:rsid w:val="716D157A"/>
    <w:rsid w:val="7175165A"/>
    <w:rsid w:val="717A16B9"/>
    <w:rsid w:val="717C638C"/>
    <w:rsid w:val="717D793F"/>
    <w:rsid w:val="71804AF7"/>
    <w:rsid w:val="71844990"/>
    <w:rsid w:val="718616F7"/>
    <w:rsid w:val="718D2B11"/>
    <w:rsid w:val="71943B66"/>
    <w:rsid w:val="719B216D"/>
    <w:rsid w:val="71A86F83"/>
    <w:rsid w:val="71B46619"/>
    <w:rsid w:val="71B50108"/>
    <w:rsid w:val="71B752EE"/>
    <w:rsid w:val="71B90522"/>
    <w:rsid w:val="71C66F16"/>
    <w:rsid w:val="71CF04C8"/>
    <w:rsid w:val="71DB12A7"/>
    <w:rsid w:val="71DF4EDF"/>
    <w:rsid w:val="71E619D1"/>
    <w:rsid w:val="71FF7992"/>
    <w:rsid w:val="72010916"/>
    <w:rsid w:val="72017C53"/>
    <w:rsid w:val="7205092B"/>
    <w:rsid w:val="72076DCF"/>
    <w:rsid w:val="720C0228"/>
    <w:rsid w:val="72104A8F"/>
    <w:rsid w:val="72106F1F"/>
    <w:rsid w:val="721708BC"/>
    <w:rsid w:val="722B3FA0"/>
    <w:rsid w:val="722D2A5F"/>
    <w:rsid w:val="722D57C7"/>
    <w:rsid w:val="724062B5"/>
    <w:rsid w:val="724309E9"/>
    <w:rsid w:val="7248108B"/>
    <w:rsid w:val="72491CAB"/>
    <w:rsid w:val="724A0704"/>
    <w:rsid w:val="724C22FA"/>
    <w:rsid w:val="724F4299"/>
    <w:rsid w:val="724F46F0"/>
    <w:rsid w:val="7255143F"/>
    <w:rsid w:val="726436E6"/>
    <w:rsid w:val="72700C83"/>
    <w:rsid w:val="727608D5"/>
    <w:rsid w:val="727A2B5F"/>
    <w:rsid w:val="727D051A"/>
    <w:rsid w:val="727E6483"/>
    <w:rsid w:val="728453D5"/>
    <w:rsid w:val="728664C2"/>
    <w:rsid w:val="728B087B"/>
    <w:rsid w:val="72935827"/>
    <w:rsid w:val="72977F10"/>
    <w:rsid w:val="729B79DD"/>
    <w:rsid w:val="72A43597"/>
    <w:rsid w:val="72A53147"/>
    <w:rsid w:val="72AA36AE"/>
    <w:rsid w:val="72BB1BA7"/>
    <w:rsid w:val="72C928DE"/>
    <w:rsid w:val="72D051AC"/>
    <w:rsid w:val="72D05F60"/>
    <w:rsid w:val="72D2308D"/>
    <w:rsid w:val="72D57898"/>
    <w:rsid w:val="72E61501"/>
    <w:rsid w:val="72EA63C0"/>
    <w:rsid w:val="72ED426C"/>
    <w:rsid w:val="72F91A90"/>
    <w:rsid w:val="731A6CBD"/>
    <w:rsid w:val="731C314C"/>
    <w:rsid w:val="73221787"/>
    <w:rsid w:val="732927A3"/>
    <w:rsid w:val="732B2982"/>
    <w:rsid w:val="733527D5"/>
    <w:rsid w:val="734333B2"/>
    <w:rsid w:val="73681199"/>
    <w:rsid w:val="73826B32"/>
    <w:rsid w:val="739D6139"/>
    <w:rsid w:val="73A34F4F"/>
    <w:rsid w:val="73B02110"/>
    <w:rsid w:val="73BB5331"/>
    <w:rsid w:val="73BD4470"/>
    <w:rsid w:val="73CB40BF"/>
    <w:rsid w:val="73CC250C"/>
    <w:rsid w:val="73CE0E30"/>
    <w:rsid w:val="73CE218C"/>
    <w:rsid w:val="73E133AB"/>
    <w:rsid w:val="73E47BB2"/>
    <w:rsid w:val="73F74664"/>
    <w:rsid w:val="73F95D4E"/>
    <w:rsid w:val="74044161"/>
    <w:rsid w:val="740D716A"/>
    <w:rsid w:val="74194164"/>
    <w:rsid w:val="741C0ACA"/>
    <w:rsid w:val="742D6B25"/>
    <w:rsid w:val="742F0F2B"/>
    <w:rsid w:val="7431444E"/>
    <w:rsid w:val="74344471"/>
    <w:rsid w:val="743708F7"/>
    <w:rsid w:val="743C65CD"/>
    <w:rsid w:val="744446C4"/>
    <w:rsid w:val="74480B41"/>
    <w:rsid w:val="74524A6C"/>
    <w:rsid w:val="74544764"/>
    <w:rsid w:val="7457436B"/>
    <w:rsid w:val="745C6B72"/>
    <w:rsid w:val="745D46B6"/>
    <w:rsid w:val="745D5E4D"/>
    <w:rsid w:val="745F6D5D"/>
    <w:rsid w:val="746229FF"/>
    <w:rsid w:val="74665E60"/>
    <w:rsid w:val="74670AA0"/>
    <w:rsid w:val="746C4E46"/>
    <w:rsid w:val="74707796"/>
    <w:rsid w:val="747928CA"/>
    <w:rsid w:val="747D4D81"/>
    <w:rsid w:val="747E2170"/>
    <w:rsid w:val="74807D4D"/>
    <w:rsid w:val="74852FD5"/>
    <w:rsid w:val="74951F55"/>
    <w:rsid w:val="74994FF2"/>
    <w:rsid w:val="74A44507"/>
    <w:rsid w:val="74A93ADB"/>
    <w:rsid w:val="74AB764B"/>
    <w:rsid w:val="74B54B4A"/>
    <w:rsid w:val="74B714F4"/>
    <w:rsid w:val="74BA0C6B"/>
    <w:rsid w:val="74BA308E"/>
    <w:rsid w:val="74BB501E"/>
    <w:rsid w:val="74BE575C"/>
    <w:rsid w:val="74C62534"/>
    <w:rsid w:val="74E23685"/>
    <w:rsid w:val="74EA0574"/>
    <w:rsid w:val="74EE31EA"/>
    <w:rsid w:val="74F227D5"/>
    <w:rsid w:val="74F479DA"/>
    <w:rsid w:val="74F5439F"/>
    <w:rsid w:val="74FA2880"/>
    <w:rsid w:val="750E421E"/>
    <w:rsid w:val="75100B8F"/>
    <w:rsid w:val="75122761"/>
    <w:rsid w:val="75180EA9"/>
    <w:rsid w:val="75224C45"/>
    <w:rsid w:val="75225CBF"/>
    <w:rsid w:val="75350693"/>
    <w:rsid w:val="75372EB1"/>
    <w:rsid w:val="753D6A03"/>
    <w:rsid w:val="75431631"/>
    <w:rsid w:val="75443F5E"/>
    <w:rsid w:val="75460C0C"/>
    <w:rsid w:val="7546677D"/>
    <w:rsid w:val="754B2AC0"/>
    <w:rsid w:val="754D466C"/>
    <w:rsid w:val="754F4CC4"/>
    <w:rsid w:val="755968DB"/>
    <w:rsid w:val="756E0B0A"/>
    <w:rsid w:val="756E1FF6"/>
    <w:rsid w:val="757031D9"/>
    <w:rsid w:val="757E6624"/>
    <w:rsid w:val="758075D4"/>
    <w:rsid w:val="75814167"/>
    <w:rsid w:val="75842DFC"/>
    <w:rsid w:val="75844CB2"/>
    <w:rsid w:val="75907C96"/>
    <w:rsid w:val="759B7AB5"/>
    <w:rsid w:val="75A2067A"/>
    <w:rsid w:val="75A51D92"/>
    <w:rsid w:val="75A667A1"/>
    <w:rsid w:val="75B545AA"/>
    <w:rsid w:val="75B940C4"/>
    <w:rsid w:val="75B9416A"/>
    <w:rsid w:val="75BE0722"/>
    <w:rsid w:val="75C247F2"/>
    <w:rsid w:val="75C5473C"/>
    <w:rsid w:val="75CD7BB5"/>
    <w:rsid w:val="75DB5451"/>
    <w:rsid w:val="75DC7CED"/>
    <w:rsid w:val="75E37678"/>
    <w:rsid w:val="75E9665D"/>
    <w:rsid w:val="75F33081"/>
    <w:rsid w:val="75F43D62"/>
    <w:rsid w:val="75F60897"/>
    <w:rsid w:val="75F87197"/>
    <w:rsid w:val="760C1D60"/>
    <w:rsid w:val="760E5F05"/>
    <w:rsid w:val="761079F1"/>
    <w:rsid w:val="76280126"/>
    <w:rsid w:val="762E28FD"/>
    <w:rsid w:val="762F682A"/>
    <w:rsid w:val="76437D02"/>
    <w:rsid w:val="765120A6"/>
    <w:rsid w:val="765500F3"/>
    <w:rsid w:val="766146C3"/>
    <w:rsid w:val="76634AEC"/>
    <w:rsid w:val="766530C9"/>
    <w:rsid w:val="766E17DB"/>
    <w:rsid w:val="76724739"/>
    <w:rsid w:val="767F05D4"/>
    <w:rsid w:val="76894CC3"/>
    <w:rsid w:val="768A5887"/>
    <w:rsid w:val="769245DD"/>
    <w:rsid w:val="76942C42"/>
    <w:rsid w:val="769C48A8"/>
    <w:rsid w:val="76A9033B"/>
    <w:rsid w:val="76B2227E"/>
    <w:rsid w:val="76B8132F"/>
    <w:rsid w:val="76BA05D5"/>
    <w:rsid w:val="76BF7D3D"/>
    <w:rsid w:val="76C52AEB"/>
    <w:rsid w:val="76CA40F3"/>
    <w:rsid w:val="76D264D4"/>
    <w:rsid w:val="76D36F81"/>
    <w:rsid w:val="76D917F6"/>
    <w:rsid w:val="76E54C34"/>
    <w:rsid w:val="76E955C3"/>
    <w:rsid w:val="76F8393D"/>
    <w:rsid w:val="76FA22C3"/>
    <w:rsid w:val="76FA75DB"/>
    <w:rsid w:val="76FD43AC"/>
    <w:rsid w:val="770706D4"/>
    <w:rsid w:val="77123ACC"/>
    <w:rsid w:val="771774C5"/>
    <w:rsid w:val="77225399"/>
    <w:rsid w:val="77247924"/>
    <w:rsid w:val="772B1B20"/>
    <w:rsid w:val="772B4A59"/>
    <w:rsid w:val="774554AD"/>
    <w:rsid w:val="77476B1B"/>
    <w:rsid w:val="774B6692"/>
    <w:rsid w:val="77510935"/>
    <w:rsid w:val="775F676C"/>
    <w:rsid w:val="77601CBF"/>
    <w:rsid w:val="77634F3B"/>
    <w:rsid w:val="777B74D7"/>
    <w:rsid w:val="777F4D67"/>
    <w:rsid w:val="77821A9D"/>
    <w:rsid w:val="77850D38"/>
    <w:rsid w:val="77910638"/>
    <w:rsid w:val="77926E10"/>
    <w:rsid w:val="779B3146"/>
    <w:rsid w:val="77A117D6"/>
    <w:rsid w:val="77A26354"/>
    <w:rsid w:val="77B265EF"/>
    <w:rsid w:val="77BF3850"/>
    <w:rsid w:val="77CD3540"/>
    <w:rsid w:val="77CE14EF"/>
    <w:rsid w:val="77CE269B"/>
    <w:rsid w:val="77D36332"/>
    <w:rsid w:val="77D62A56"/>
    <w:rsid w:val="77D62BCB"/>
    <w:rsid w:val="77D96CFA"/>
    <w:rsid w:val="77E62733"/>
    <w:rsid w:val="77EA060C"/>
    <w:rsid w:val="77F84B71"/>
    <w:rsid w:val="77FE53E9"/>
    <w:rsid w:val="78011BF1"/>
    <w:rsid w:val="780E1955"/>
    <w:rsid w:val="7813790D"/>
    <w:rsid w:val="78237BA7"/>
    <w:rsid w:val="78293DC3"/>
    <w:rsid w:val="782D2D9B"/>
    <w:rsid w:val="782E4412"/>
    <w:rsid w:val="782F143B"/>
    <w:rsid w:val="782F7B31"/>
    <w:rsid w:val="783720CB"/>
    <w:rsid w:val="78380568"/>
    <w:rsid w:val="783A5239"/>
    <w:rsid w:val="783A6B2F"/>
    <w:rsid w:val="783F4F70"/>
    <w:rsid w:val="784514CF"/>
    <w:rsid w:val="78466E62"/>
    <w:rsid w:val="785712FB"/>
    <w:rsid w:val="785B4C20"/>
    <w:rsid w:val="785D218D"/>
    <w:rsid w:val="78630991"/>
    <w:rsid w:val="78704423"/>
    <w:rsid w:val="787E4A3E"/>
    <w:rsid w:val="78903BC9"/>
    <w:rsid w:val="78912980"/>
    <w:rsid w:val="7893195B"/>
    <w:rsid w:val="78965720"/>
    <w:rsid w:val="78AB4E34"/>
    <w:rsid w:val="78B8567C"/>
    <w:rsid w:val="78CE1FE7"/>
    <w:rsid w:val="78D62FC2"/>
    <w:rsid w:val="78D7094F"/>
    <w:rsid w:val="78D928D7"/>
    <w:rsid w:val="78E8667F"/>
    <w:rsid w:val="78E93563"/>
    <w:rsid w:val="78EF1738"/>
    <w:rsid w:val="78F7615B"/>
    <w:rsid w:val="78FD2962"/>
    <w:rsid w:val="7907155B"/>
    <w:rsid w:val="792063BD"/>
    <w:rsid w:val="79240A4F"/>
    <w:rsid w:val="792924D9"/>
    <w:rsid w:val="79307089"/>
    <w:rsid w:val="79373219"/>
    <w:rsid w:val="793763EA"/>
    <w:rsid w:val="793A761F"/>
    <w:rsid w:val="793D367B"/>
    <w:rsid w:val="793F707A"/>
    <w:rsid w:val="793F7AB3"/>
    <w:rsid w:val="79421D81"/>
    <w:rsid w:val="79432895"/>
    <w:rsid w:val="794625CC"/>
    <w:rsid w:val="794A4288"/>
    <w:rsid w:val="794C7980"/>
    <w:rsid w:val="7954036F"/>
    <w:rsid w:val="795F14E6"/>
    <w:rsid w:val="7963139E"/>
    <w:rsid w:val="798B23A6"/>
    <w:rsid w:val="798D1378"/>
    <w:rsid w:val="79912CAC"/>
    <w:rsid w:val="79934622"/>
    <w:rsid w:val="799C5748"/>
    <w:rsid w:val="79A10018"/>
    <w:rsid w:val="79A21910"/>
    <w:rsid w:val="79A71835"/>
    <w:rsid w:val="79A86542"/>
    <w:rsid w:val="79AA6729"/>
    <w:rsid w:val="79AF7ABE"/>
    <w:rsid w:val="79BD180A"/>
    <w:rsid w:val="79BE5E62"/>
    <w:rsid w:val="79BF1360"/>
    <w:rsid w:val="79C31852"/>
    <w:rsid w:val="79D00261"/>
    <w:rsid w:val="79D72059"/>
    <w:rsid w:val="79E179F6"/>
    <w:rsid w:val="79E4560A"/>
    <w:rsid w:val="79E92F86"/>
    <w:rsid w:val="79E9620E"/>
    <w:rsid w:val="79EA7513"/>
    <w:rsid w:val="79EB4FCE"/>
    <w:rsid w:val="79EC33C3"/>
    <w:rsid w:val="79EC4C14"/>
    <w:rsid w:val="79F03B57"/>
    <w:rsid w:val="7A0C2F4B"/>
    <w:rsid w:val="7A1135D3"/>
    <w:rsid w:val="7A1B540B"/>
    <w:rsid w:val="7A1C1793"/>
    <w:rsid w:val="7A1C4DC7"/>
    <w:rsid w:val="7A2B7F7C"/>
    <w:rsid w:val="7A34668D"/>
    <w:rsid w:val="7A3A078E"/>
    <w:rsid w:val="7A45124E"/>
    <w:rsid w:val="7A4665A8"/>
    <w:rsid w:val="7A4778AC"/>
    <w:rsid w:val="7A4C7BCA"/>
    <w:rsid w:val="7A527CB8"/>
    <w:rsid w:val="7A646BED"/>
    <w:rsid w:val="7A7F0907"/>
    <w:rsid w:val="7A7F307F"/>
    <w:rsid w:val="7A850292"/>
    <w:rsid w:val="7A857D7D"/>
    <w:rsid w:val="7A864059"/>
    <w:rsid w:val="7A95542D"/>
    <w:rsid w:val="7A991285"/>
    <w:rsid w:val="7A9D151C"/>
    <w:rsid w:val="7AA26CC1"/>
    <w:rsid w:val="7AA36941"/>
    <w:rsid w:val="7AA443C3"/>
    <w:rsid w:val="7AAC03BC"/>
    <w:rsid w:val="7AAE2A2E"/>
    <w:rsid w:val="7AB2157C"/>
    <w:rsid w:val="7AB5655C"/>
    <w:rsid w:val="7ABF07F0"/>
    <w:rsid w:val="7AC179AB"/>
    <w:rsid w:val="7AC357D7"/>
    <w:rsid w:val="7AC528C4"/>
    <w:rsid w:val="7ACE4545"/>
    <w:rsid w:val="7AD103AF"/>
    <w:rsid w:val="7AD631B4"/>
    <w:rsid w:val="7AE80992"/>
    <w:rsid w:val="7AE9752E"/>
    <w:rsid w:val="7AEC1055"/>
    <w:rsid w:val="7AF51135"/>
    <w:rsid w:val="7AF60178"/>
    <w:rsid w:val="7AFE078F"/>
    <w:rsid w:val="7B016CDB"/>
    <w:rsid w:val="7B02475C"/>
    <w:rsid w:val="7B025D7E"/>
    <w:rsid w:val="7B0320BB"/>
    <w:rsid w:val="7B0E4101"/>
    <w:rsid w:val="7B192CA1"/>
    <w:rsid w:val="7B1E43DB"/>
    <w:rsid w:val="7B1E76B6"/>
    <w:rsid w:val="7B213578"/>
    <w:rsid w:val="7B3D12FD"/>
    <w:rsid w:val="7B4318EB"/>
    <w:rsid w:val="7B4D1359"/>
    <w:rsid w:val="7B4E742F"/>
    <w:rsid w:val="7B5204F9"/>
    <w:rsid w:val="7B5257E0"/>
    <w:rsid w:val="7B5876EA"/>
    <w:rsid w:val="7B623397"/>
    <w:rsid w:val="7B6E2838"/>
    <w:rsid w:val="7B6E3852"/>
    <w:rsid w:val="7B723B17"/>
    <w:rsid w:val="7B745405"/>
    <w:rsid w:val="7B7D7929"/>
    <w:rsid w:val="7B8713FA"/>
    <w:rsid w:val="7B907FDF"/>
    <w:rsid w:val="7B9207C8"/>
    <w:rsid w:val="7B9704D3"/>
    <w:rsid w:val="7BA1555F"/>
    <w:rsid w:val="7BA51C14"/>
    <w:rsid w:val="7BA54D76"/>
    <w:rsid w:val="7BAD4BF5"/>
    <w:rsid w:val="7BBB2949"/>
    <w:rsid w:val="7BC71022"/>
    <w:rsid w:val="7BC86AA4"/>
    <w:rsid w:val="7BC8745E"/>
    <w:rsid w:val="7BCD7043"/>
    <w:rsid w:val="7BD44AB5"/>
    <w:rsid w:val="7BD75A39"/>
    <w:rsid w:val="7BDA2B39"/>
    <w:rsid w:val="7BE65320"/>
    <w:rsid w:val="7BFD2FC3"/>
    <w:rsid w:val="7C001068"/>
    <w:rsid w:val="7C2118A6"/>
    <w:rsid w:val="7C222636"/>
    <w:rsid w:val="7C274E7E"/>
    <w:rsid w:val="7C280E42"/>
    <w:rsid w:val="7C4405EC"/>
    <w:rsid w:val="7C4902F7"/>
    <w:rsid w:val="7C4C02DB"/>
    <w:rsid w:val="7C4E2200"/>
    <w:rsid w:val="7C520C06"/>
    <w:rsid w:val="7C5E225A"/>
    <w:rsid w:val="7C7855C3"/>
    <w:rsid w:val="7C7B2E38"/>
    <w:rsid w:val="7C7F4F3C"/>
    <w:rsid w:val="7C931E15"/>
    <w:rsid w:val="7C9C55B4"/>
    <w:rsid w:val="7C9F5482"/>
    <w:rsid w:val="7CA544A2"/>
    <w:rsid w:val="7CAA541E"/>
    <w:rsid w:val="7CB31F25"/>
    <w:rsid w:val="7CB347D7"/>
    <w:rsid w:val="7CB70CBA"/>
    <w:rsid w:val="7CB83E2E"/>
    <w:rsid w:val="7CBC25C4"/>
    <w:rsid w:val="7CC72DC3"/>
    <w:rsid w:val="7CCD67D7"/>
    <w:rsid w:val="7CD4481A"/>
    <w:rsid w:val="7CD939A2"/>
    <w:rsid w:val="7CE21673"/>
    <w:rsid w:val="7CE2570E"/>
    <w:rsid w:val="7CEE0A85"/>
    <w:rsid w:val="7CEE13C1"/>
    <w:rsid w:val="7CF45745"/>
    <w:rsid w:val="7CFC5143"/>
    <w:rsid w:val="7D002024"/>
    <w:rsid w:val="7D0351A7"/>
    <w:rsid w:val="7D08374B"/>
    <w:rsid w:val="7D0920E2"/>
    <w:rsid w:val="7D1665FE"/>
    <w:rsid w:val="7D1B284D"/>
    <w:rsid w:val="7D1C5D42"/>
    <w:rsid w:val="7D34019B"/>
    <w:rsid w:val="7D345976"/>
    <w:rsid w:val="7D3C4DB4"/>
    <w:rsid w:val="7D4033FD"/>
    <w:rsid w:val="7D4633F9"/>
    <w:rsid w:val="7D4D5856"/>
    <w:rsid w:val="7D537A55"/>
    <w:rsid w:val="7D6B18A4"/>
    <w:rsid w:val="7D737A9C"/>
    <w:rsid w:val="7D8E7309"/>
    <w:rsid w:val="7D923E44"/>
    <w:rsid w:val="7D941212"/>
    <w:rsid w:val="7DAA16F6"/>
    <w:rsid w:val="7DB407E6"/>
    <w:rsid w:val="7DBE014A"/>
    <w:rsid w:val="7DBE36DC"/>
    <w:rsid w:val="7DCF5B74"/>
    <w:rsid w:val="7DE14EF9"/>
    <w:rsid w:val="7DE779C7"/>
    <w:rsid w:val="7DF16A19"/>
    <w:rsid w:val="7DF83689"/>
    <w:rsid w:val="7E101E61"/>
    <w:rsid w:val="7E183EEA"/>
    <w:rsid w:val="7E18635A"/>
    <w:rsid w:val="7E18651E"/>
    <w:rsid w:val="7E194EBD"/>
    <w:rsid w:val="7E327276"/>
    <w:rsid w:val="7E3F2260"/>
    <w:rsid w:val="7E4251F7"/>
    <w:rsid w:val="7E430A62"/>
    <w:rsid w:val="7E432689"/>
    <w:rsid w:val="7E433C86"/>
    <w:rsid w:val="7E440B2B"/>
    <w:rsid w:val="7E4A0D41"/>
    <w:rsid w:val="7E4A22B2"/>
    <w:rsid w:val="7E4D6442"/>
    <w:rsid w:val="7E4E7747"/>
    <w:rsid w:val="7E4F61B6"/>
    <w:rsid w:val="7E526150"/>
    <w:rsid w:val="7E6752B6"/>
    <w:rsid w:val="7E6E691A"/>
    <w:rsid w:val="7E7164AC"/>
    <w:rsid w:val="7E717A7B"/>
    <w:rsid w:val="7E753C6C"/>
    <w:rsid w:val="7E784D07"/>
    <w:rsid w:val="7E80292D"/>
    <w:rsid w:val="7E84382C"/>
    <w:rsid w:val="7E855AE7"/>
    <w:rsid w:val="7E9D718F"/>
    <w:rsid w:val="7EA7411B"/>
    <w:rsid w:val="7EA874D5"/>
    <w:rsid w:val="7EAA0221"/>
    <w:rsid w:val="7EB02A3C"/>
    <w:rsid w:val="7EB714C1"/>
    <w:rsid w:val="7EBA0FF5"/>
    <w:rsid w:val="7EBF0D00"/>
    <w:rsid w:val="7EC1483F"/>
    <w:rsid w:val="7ECE1934"/>
    <w:rsid w:val="7ED326C7"/>
    <w:rsid w:val="7EED3DCE"/>
    <w:rsid w:val="7F0172DD"/>
    <w:rsid w:val="7F0A6F2E"/>
    <w:rsid w:val="7F207662"/>
    <w:rsid w:val="7F21551C"/>
    <w:rsid w:val="7F2464A6"/>
    <w:rsid w:val="7F251450"/>
    <w:rsid w:val="7F381A47"/>
    <w:rsid w:val="7F3932D6"/>
    <w:rsid w:val="7F3A5C16"/>
    <w:rsid w:val="7F3B3199"/>
    <w:rsid w:val="7F3D07F6"/>
    <w:rsid w:val="7F4334D7"/>
    <w:rsid w:val="7F4D23DA"/>
    <w:rsid w:val="7F533772"/>
    <w:rsid w:val="7F59567B"/>
    <w:rsid w:val="7F5F2E08"/>
    <w:rsid w:val="7F613C7E"/>
    <w:rsid w:val="7F6A2D63"/>
    <w:rsid w:val="7F6C60C6"/>
    <w:rsid w:val="7F7D7E39"/>
    <w:rsid w:val="7F813392"/>
    <w:rsid w:val="7F827F3A"/>
    <w:rsid w:val="7F912BF1"/>
    <w:rsid w:val="7F9E1932"/>
    <w:rsid w:val="7F9F256C"/>
    <w:rsid w:val="7FA4150B"/>
    <w:rsid w:val="7FA61A8E"/>
    <w:rsid w:val="7FA870B3"/>
    <w:rsid w:val="7FA92BB9"/>
    <w:rsid w:val="7FAB4AF0"/>
    <w:rsid w:val="7FB56D30"/>
    <w:rsid w:val="7FB576DF"/>
    <w:rsid w:val="7FC0250D"/>
    <w:rsid w:val="7FC35A90"/>
    <w:rsid w:val="7FCC65E5"/>
    <w:rsid w:val="7FCC7BB8"/>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3"/>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paragraph" w:styleId="31">
    <w:name w:val="Normal (Web)"/>
    <w:basedOn w:val="1"/>
    <w:qFormat/>
    <w:uiPriority w:val="0"/>
    <w:rPr>
      <w:sz w:val="24"/>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qFormat/>
    <w:uiPriority w:val="0"/>
    <w:pPr>
      <w:keepLines/>
      <w:ind w:left="1135" w:hanging="851"/>
    </w:p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4"/>
    <w:qFormat/>
    <w:uiPriority w:val="0"/>
  </w:style>
  <w:style w:type="paragraph" w:customStyle="1" w:styleId="55">
    <w:name w:val="Editor's Note"/>
    <w:basedOn w:val="43"/>
    <w:qFormat/>
    <w:uiPriority w:val="0"/>
    <w:rPr>
      <w:color w:val="FF0000"/>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5">
    <w:name w:val="B2"/>
    <w:basedOn w:val="13"/>
    <w:qFormat/>
    <w:uiPriority w:val="0"/>
  </w:style>
  <w:style w:type="paragraph" w:customStyle="1" w:styleId="66">
    <w:name w:val="B3"/>
    <w:basedOn w:val="12"/>
    <w:qFormat/>
    <w:uiPriority w:val="0"/>
    <w:pPr>
      <w:ind w:left="1135" w:hanging="284"/>
    </w:pPr>
  </w:style>
  <w:style w:type="paragraph" w:customStyle="1" w:styleId="67">
    <w:name w:val="B4"/>
    <w:basedOn w:val="30"/>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批注框文本 字符"/>
    <w:link w:val="26"/>
    <w:qFormat/>
    <w:uiPriority w:val="0"/>
    <w:rPr>
      <w:rFonts w:ascii="Segoe UI" w:hAnsi="Segoe UI" w:cs="Segoe UI"/>
      <w:sz w:val="18"/>
      <w:szCs w:val="18"/>
      <w:lang w:eastAsia="en-US"/>
    </w:rPr>
  </w:style>
  <w:style w:type="character" w:customStyle="1" w:styleId="74">
    <w:name w:val="Unresolved Mention"/>
    <w:basedOn w:val="34"/>
    <w:semiHidden/>
    <w:unhideWhenUsed/>
    <w:qFormat/>
    <w:uiPriority w:val="99"/>
    <w:rPr>
      <w:color w:val="605E5C"/>
      <w:shd w:val="clear" w:color="auto" w:fill="E1DFDD"/>
    </w:rPr>
  </w:style>
  <w:style w:type="paragraph" w:styleId="75">
    <w:name w:val="List Paragraph"/>
    <w:basedOn w:val="1"/>
    <w:link w:val="76"/>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6">
    <w:name w:val="列出段落 字符"/>
    <w:link w:val="75"/>
    <w:qFormat/>
    <w:locked/>
    <w:uiPriority w:val="34"/>
    <w:rPr>
      <w:rFonts w:asciiTheme="minorHAnsi" w:hAnsiTheme="minorHAnsi" w:eastAsiaTheme="minorHAnsi" w:cstheme="minorBidi"/>
      <w:sz w:val="22"/>
      <w:szCs w:val="22"/>
      <w:lang w:val="sv-SE" w:eastAsia="en-US"/>
    </w:rPr>
  </w:style>
  <w:style w:type="paragraph" w:customStyle="1" w:styleId="77">
    <w:name w:val="CR Cover Page"/>
    <w:link w:val="78"/>
    <w:qFormat/>
    <w:uiPriority w:val="0"/>
    <w:pPr>
      <w:spacing w:after="120"/>
    </w:pPr>
    <w:rPr>
      <w:rFonts w:ascii="Arial" w:hAnsi="Arial" w:eastAsia="Times New Roman" w:cs="Times New Roman"/>
      <w:lang w:val="en-GB" w:eastAsia="en-US" w:bidi="ar-SA"/>
    </w:rPr>
  </w:style>
  <w:style w:type="character" w:customStyle="1" w:styleId="78">
    <w:name w:val="CR Cover Page Char"/>
    <w:link w:val="77"/>
    <w:qFormat/>
    <w:uiPriority w:val="0"/>
    <w:rPr>
      <w:rFonts w:ascii="Arial" w:hAnsi="Arial"/>
      <w:lang w:eastAsia="en-US"/>
    </w:rPr>
  </w:style>
  <w:style w:type="paragraph" w:customStyle="1" w:styleId="79">
    <w:name w:val="RAN4 H1"/>
    <w:basedOn w:val="1"/>
    <w:next w:val="1"/>
    <w:link w:val="80"/>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0">
    <w:name w:val="RAN4 H1 Char"/>
    <w:basedOn w:val="34"/>
    <w:link w:val="79"/>
    <w:qFormat/>
    <w:uiPriority w:val="0"/>
    <w:rPr>
      <w:rFonts w:ascii="Arial" w:hAnsi="Arial" w:eastAsia="宋体" w:cs="Times New Roman"/>
      <w:sz w:val="36"/>
      <w:szCs w:val="20"/>
      <w:lang w:val="en-GB"/>
    </w:rPr>
  </w:style>
  <w:style w:type="paragraph" w:customStyle="1" w:styleId="81">
    <w:name w:val="RAN4 H2"/>
    <w:basedOn w:val="3"/>
    <w:next w:val="1"/>
    <w:qFormat/>
    <w:uiPriority w:val="0"/>
    <w:pPr>
      <w:numPr>
        <w:ilvl w:val="1"/>
        <w:numId w:val="1"/>
      </w:numPr>
      <w:ind w:left="431" w:hanging="431"/>
    </w:pPr>
    <w:rPr>
      <w:lang w:val="en-US"/>
    </w:rPr>
  </w:style>
  <w:style w:type="paragraph" w:customStyle="1" w:styleId="82">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3">
    <w:name w:val="Reference"/>
    <w:basedOn w:val="1"/>
    <w:qFormat/>
    <w:uiPriority w:val="0"/>
    <w:pPr>
      <w:spacing w:after="0"/>
      <w:ind w:left="567" w:hanging="283"/>
    </w:pPr>
    <w:rPr>
      <w:lang w:eastAsia="en-GB"/>
    </w:rPr>
  </w:style>
  <w:style w:type="paragraph" w:customStyle="1" w:styleId="84">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5">
    <w:name w:val="TAN Char"/>
    <w:basedOn w:val="34"/>
    <w:qFormat/>
    <w:uiPriority w:val="0"/>
    <w:rPr>
      <w:rFonts w:ascii="Arial" w:hAnsi="Arial" w:eastAsia="Times New Roman" w:cs="Arial"/>
      <w:sz w:val="18"/>
      <w:lang w:val="en-US" w:eastAsia="en-US"/>
    </w:rPr>
  </w:style>
  <w:style w:type="character" w:customStyle="1" w:styleId="86">
    <w:name w:val="TAC Char"/>
    <w:basedOn w:val="34"/>
    <w:qFormat/>
    <w:uiPriority w:val="0"/>
    <w:rPr>
      <w:rFonts w:hint="default" w:ascii="Arial" w:hAnsi="Arial" w:eastAsia="Times New Roman" w:cs="Arial"/>
      <w:sz w:val="18"/>
      <w:lang w:val="en-US" w:eastAsia="en-US"/>
    </w:rPr>
  </w:style>
  <w:style w:type="character" w:customStyle="1" w:styleId="87">
    <w:name w:val="TH Char"/>
    <w:basedOn w:val="34"/>
    <w:qFormat/>
    <w:uiPriority w:val="0"/>
    <w:rPr>
      <w:rFonts w:hint="default" w:ascii="Arial" w:hAnsi="Arial" w:eastAsia="Times New Roman" w:cs="Arial"/>
      <w:b/>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22</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2025-03-28T07:41:14Z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